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26" w:rsidRPr="00E31926" w:rsidRDefault="00E31926" w:rsidP="00E31926">
      <w:pPr>
        <w:widowControl w:val="0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after="0" w:line="360" w:lineRule="exact"/>
        <w:jc w:val="center"/>
        <w:rPr>
          <w:rFonts w:ascii="Tahoma" w:eastAsia="Tahoma" w:hAnsi="Tahoma" w:cs="Tahoma"/>
          <w:b/>
          <w:lang w:eastAsia="el-GR"/>
        </w:rPr>
      </w:pPr>
      <w:r w:rsidRPr="00E31926">
        <w:rPr>
          <w:rFonts w:ascii="Tahoma" w:eastAsia="Tahoma" w:hAnsi="Tahoma" w:cs="Tahoma"/>
          <w:b/>
          <w:lang w:eastAsia="el-GR"/>
        </w:rPr>
        <w:t xml:space="preserve">ΕΝΤΥΠΟ </w:t>
      </w:r>
      <w:r>
        <w:rPr>
          <w:rFonts w:ascii="Tahoma" w:eastAsia="Tahoma" w:hAnsi="Tahoma" w:cs="Tahoma"/>
          <w:b/>
          <w:lang w:val="en-US" w:eastAsia="el-GR"/>
        </w:rPr>
        <w:t xml:space="preserve">TEXNIKH </w:t>
      </w:r>
      <w:r w:rsidRPr="00E31926">
        <w:rPr>
          <w:rFonts w:ascii="Tahoma" w:eastAsia="Tahoma" w:hAnsi="Tahoma" w:cs="Tahoma"/>
          <w:b/>
          <w:lang w:eastAsia="el-GR"/>
        </w:rPr>
        <w:t>ΠΡΟΣΦΟΡΑΣ</w:t>
      </w:r>
    </w:p>
    <w:p w:rsidR="00E31926" w:rsidRPr="00E31926" w:rsidRDefault="00E31926" w:rsidP="00E31926">
      <w:pPr>
        <w:widowControl w:val="0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after="0" w:line="360" w:lineRule="exact"/>
        <w:jc w:val="both"/>
        <w:rPr>
          <w:rFonts w:ascii="Tahoma" w:eastAsia="Tahoma" w:hAnsi="Tahoma" w:cs="Tahoma"/>
          <w:sz w:val="19"/>
          <w:szCs w:val="19"/>
          <w:lang w:eastAsia="el-GR"/>
        </w:rPr>
      </w:pPr>
      <w:r w:rsidRPr="00E31926">
        <w:rPr>
          <w:rFonts w:ascii="Tahoma" w:eastAsia="Tahoma" w:hAnsi="Tahoma" w:cs="Tahoma"/>
          <w:sz w:val="19"/>
          <w:szCs w:val="19"/>
          <w:lang w:eastAsia="el-GR"/>
        </w:rPr>
        <w:t>Της ατομικής επιχείρησης / ημεδαπούς νομικού προσώπου ……………………………με έδρα τ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  <w:t>Οδός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</w:r>
      <w:proofErr w:type="spellStart"/>
      <w:r w:rsidRPr="00E31926">
        <w:rPr>
          <w:rFonts w:ascii="Tahoma" w:eastAsia="Tahoma" w:hAnsi="Tahoma" w:cs="Tahoma"/>
          <w:sz w:val="19"/>
          <w:szCs w:val="19"/>
          <w:lang w:eastAsia="el-GR"/>
        </w:rPr>
        <w:t>Αριθ</w:t>
      </w:r>
      <w:proofErr w:type="spellEnd"/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  <w:t xml:space="preserve"> Τ.Κ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  <w:t xml:space="preserve"> </w:t>
      </w:r>
      <w:proofErr w:type="spellStart"/>
      <w:r w:rsidRPr="00E31926">
        <w:rPr>
          <w:rFonts w:ascii="Tahoma" w:eastAsia="Tahoma" w:hAnsi="Tahoma" w:cs="Tahoma"/>
          <w:sz w:val="19"/>
          <w:szCs w:val="19"/>
          <w:lang w:eastAsia="el-GR"/>
        </w:rPr>
        <w:t>Τηλ</w:t>
      </w:r>
      <w:proofErr w:type="spellEnd"/>
      <w:r w:rsidRPr="00E31926">
        <w:rPr>
          <w:rFonts w:ascii="Tahoma" w:eastAsia="Tahoma" w:hAnsi="Tahoma" w:cs="Tahoma"/>
          <w:sz w:val="19"/>
          <w:szCs w:val="19"/>
          <w:lang w:eastAsia="el-GR"/>
        </w:rPr>
        <w:t>.</w:t>
      </w:r>
    </w:p>
    <w:p w:rsidR="00E31926" w:rsidRPr="00E31926" w:rsidRDefault="00E31926" w:rsidP="00E31926">
      <w:pPr>
        <w:widowControl w:val="0"/>
        <w:tabs>
          <w:tab w:val="left" w:leader="dot" w:pos="1646"/>
          <w:tab w:val="left" w:leader="dot" w:pos="3686"/>
          <w:tab w:val="left" w:leader="dot" w:pos="6672"/>
        </w:tabs>
        <w:spacing w:after="0" w:line="360" w:lineRule="exact"/>
        <w:jc w:val="both"/>
        <w:rPr>
          <w:rFonts w:ascii="Tahoma" w:eastAsia="Tahoma" w:hAnsi="Tahoma" w:cs="Tahoma"/>
          <w:sz w:val="19"/>
          <w:szCs w:val="19"/>
          <w:lang w:eastAsia="el-GR"/>
        </w:rPr>
      </w:pPr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  <w:t xml:space="preserve"> </w:t>
      </w:r>
      <w:r w:rsidRPr="00E31926">
        <w:rPr>
          <w:rFonts w:ascii="Tahoma" w:eastAsia="Tahoma" w:hAnsi="Tahoma" w:cs="Tahoma"/>
          <w:sz w:val="19"/>
          <w:szCs w:val="19"/>
          <w:lang w:val="en-US" w:bidi="en-US"/>
        </w:rPr>
        <w:t>Fax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  <w:t xml:space="preserve"> </w:t>
      </w:r>
      <w:r w:rsidRPr="00E31926">
        <w:rPr>
          <w:rFonts w:ascii="Tahoma" w:eastAsia="Tahoma" w:hAnsi="Tahoma" w:cs="Tahoma"/>
          <w:sz w:val="19"/>
          <w:szCs w:val="19"/>
          <w:lang w:val="en-US" w:bidi="en-US"/>
        </w:rPr>
        <w:t>Email</w:t>
      </w:r>
      <w:r w:rsidRPr="00E31926">
        <w:rPr>
          <w:rFonts w:ascii="Tahoma" w:eastAsia="Tahoma" w:hAnsi="Tahoma" w:cs="Tahoma"/>
          <w:sz w:val="19"/>
          <w:szCs w:val="19"/>
          <w:lang w:bidi="en-US"/>
        </w:rPr>
        <w:t xml:space="preserve">: 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ab/>
      </w:r>
    </w:p>
    <w:p w:rsidR="00E31926" w:rsidRPr="00E31926" w:rsidRDefault="00E31926" w:rsidP="00E31926">
      <w:pPr>
        <w:widowControl w:val="0"/>
        <w:spacing w:after="296" w:line="360" w:lineRule="exact"/>
        <w:jc w:val="both"/>
        <w:rPr>
          <w:rFonts w:ascii="Tahoma" w:eastAsia="Tahoma" w:hAnsi="Tahoma" w:cs="Tahoma"/>
          <w:sz w:val="19"/>
          <w:szCs w:val="19"/>
          <w:lang w:eastAsia="el-GR"/>
        </w:rPr>
      </w:pPr>
      <w:r w:rsidRPr="00E31926">
        <w:rPr>
          <w:rFonts w:ascii="Tahoma" w:eastAsia="Tahoma" w:hAnsi="Tahoma" w:cs="Tahoma"/>
          <w:sz w:val="19"/>
          <w:szCs w:val="19"/>
          <w:lang w:eastAsia="el-GR"/>
        </w:rPr>
        <w:t>Αφού έλαβα γνώση των όρων της μελέτης για την προμήθεια με τίτλο :</w:t>
      </w:r>
    </w:p>
    <w:p w:rsidR="00E31926" w:rsidRPr="00E31926" w:rsidRDefault="00E31926" w:rsidP="00E31926">
      <w:pPr>
        <w:widowControl w:val="0"/>
        <w:suppressAutoHyphens/>
        <w:spacing w:after="120" w:line="360" w:lineRule="auto"/>
        <w:jc w:val="center"/>
        <w:rPr>
          <w:rFonts w:ascii="Verdana" w:eastAsia="Arial" w:hAnsi="Verdana" w:cs="Arial"/>
          <w:b/>
          <w:spacing w:val="-3"/>
          <w:szCs w:val="24"/>
          <w:highlight w:val="yellow"/>
          <w:lang w:eastAsia="ar-SA"/>
        </w:rPr>
      </w:pPr>
      <w:r w:rsidRPr="00E31926">
        <w:rPr>
          <w:rFonts w:ascii="Verdana" w:eastAsia="Times New Roman" w:hAnsi="Verdana" w:cs="Verdana-Bold"/>
          <w:b/>
          <w:bCs/>
          <w:sz w:val="20"/>
          <w:szCs w:val="20"/>
          <w:lang w:eastAsia="ar-SA"/>
        </w:rPr>
        <w:t>«</w:t>
      </w:r>
      <w:r w:rsidRPr="00E31926">
        <w:rPr>
          <w:rFonts w:ascii="Verdana" w:eastAsia="Arial" w:hAnsi="Verdana" w:cs="Arial"/>
          <w:b/>
          <w:spacing w:val="-3"/>
          <w:szCs w:val="24"/>
          <w:lang w:eastAsia="ar-SA"/>
        </w:rPr>
        <w:t>Προμήθεια εξοπλισμού και λογισμικού πληροφορικής»</w:t>
      </w:r>
    </w:p>
    <w:p w:rsidR="00824E98" w:rsidRPr="00E31926" w:rsidRDefault="00E31926" w:rsidP="00E31926">
      <w:pPr>
        <w:widowControl w:val="0"/>
        <w:spacing w:after="0" w:line="365" w:lineRule="exact"/>
      </w:pPr>
      <w:r w:rsidRPr="00E31926">
        <w:rPr>
          <w:rFonts w:ascii="Tahoma" w:eastAsia="Tahoma" w:hAnsi="Tahoma" w:cs="Tahoma"/>
          <w:sz w:val="19"/>
          <w:szCs w:val="19"/>
          <w:lang w:eastAsia="el-GR"/>
        </w:rPr>
        <w:t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- Τα προσφερόμενα είδη πληρούν τις προδιαγραφές της μελέτης.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 xml:space="preserve"> 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 xml:space="preserve">Αποδέχομαι πλήρως και χωρίς επιφύλαξη όλα αυτά και αναλαμβάνω την εκτέλεση της προμήθειας με τις ακόλουθες </w:t>
      </w:r>
      <w:r w:rsidRPr="00E31926">
        <w:rPr>
          <w:rFonts w:ascii="Tahoma" w:eastAsia="Tahoma" w:hAnsi="Tahoma" w:cs="Tahoma"/>
          <w:sz w:val="19"/>
          <w:szCs w:val="19"/>
          <w:lang w:eastAsia="el-GR"/>
        </w:rPr>
        <w:t xml:space="preserve"> </w:t>
      </w:r>
      <w:r>
        <w:rPr>
          <w:rFonts w:ascii="Tahoma" w:eastAsia="Tahoma" w:hAnsi="Tahoma" w:cs="Tahoma"/>
          <w:sz w:val="19"/>
          <w:szCs w:val="19"/>
          <w:lang w:eastAsia="el-GR"/>
        </w:rPr>
        <w:t>τεχνικές προδιαγραφές.</w:t>
      </w:r>
    </w:p>
    <w:p w:rsidR="00E31926" w:rsidRPr="00E31926" w:rsidRDefault="00E31926" w:rsidP="00E31926">
      <w:pPr>
        <w:pStyle w:val="1"/>
        <w:spacing w:line="379" w:lineRule="exact"/>
        <w:ind w:right="20"/>
        <w:jc w:val="both"/>
        <w:rPr>
          <w:rFonts w:ascii="Cambria" w:hAnsi="Cambria" w:cs="Calibri"/>
          <w:b/>
          <w:bCs/>
          <w:color w:val="000000"/>
          <w:spacing w:val="0"/>
          <w:sz w:val="24"/>
          <w:szCs w:val="24"/>
        </w:rPr>
      </w:pPr>
      <w:r w:rsidRPr="00E31926">
        <w:rPr>
          <w:spacing w:val="0"/>
          <w:sz w:val="22"/>
          <w:szCs w:val="22"/>
        </w:rPr>
        <w:t>1.</w:t>
      </w:r>
      <w:r w:rsidRPr="00E31926">
        <w:rPr>
          <w:spacing w:val="0"/>
          <w:sz w:val="22"/>
          <w:szCs w:val="22"/>
        </w:rPr>
        <w:tab/>
      </w:r>
      <w:r w:rsidRPr="00E31926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 xml:space="preserve">Τεχνικές Προδιαγραφές Ομάδας Α </w:t>
      </w:r>
      <w:proofErr w:type="spellStart"/>
      <w:r w:rsidRPr="00E31926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plotter</w:t>
      </w:r>
      <w:proofErr w:type="spellEnd"/>
      <w:r w:rsidRPr="00E31926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/</w:t>
      </w:r>
      <w:proofErr w:type="spellStart"/>
      <w:r w:rsidRPr="00E31926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scanner</w:t>
      </w:r>
      <w:proofErr w:type="spellEnd"/>
      <w:r w:rsidRPr="00E31926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 xml:space="preserve"> σχεδίων </w:t>
      </w:r>
    </w:p>
    <w:p w:rsidR="00E31926" w:rsidRDefault="00E31926" w:rsidP="00E31926">
      <w:pPr>
        <w:pStyle w:val="1"/>
        <w:shd w:val="clear" w:color="auto" w:fill="auto"/>
        <w:spacing w:line="379" w:lineRule="exact"/>
        <w:ind w:right="20" w:firstLine="0"/>
        <w:jc w:val="both"/>
        <w:rPr>
          <w:spacing w:val="0"/>
          <w:sz w:val="22"/>
          <w:szCs w:val="22"/>
        </w:rPr>
      </w:pPr>
      <w:r w:rsidRPr="00E31926">
        <w:rPr>
          <w:spacing w:val="0"/>
          <w:sz w:val="22"/>
          <w:szCs w:val="22"/>
        </w:rPr>
        <w:t xml:space="preserve">Αναλυτικά, το </w:t>
      </w:r>
      <w:proofErr w:type="spellStart"/>
      <w:r w:rsidRPr="00E31926">
        <w:rPr>
          <w:spacing w:val="0"/>
          <w:sz w:val="22"/>
          <w:szCs w:val="22"/>
        </w:rPr>
        <w:t>Plotter</w:t>
      </w:r>
      <w:proofErr w:type="spellEnd"/>
      <w:r w:rsidRPr="00E31926">
        <w:rPr>
          <w:spacing w:val="0"/>
          <w:sz w:val="22"/>
          <w:szCs w:val="22"/>
        </w:rPr>
        <w:t xml:space="preserve"> θα πρέπει να έχει τις παρακάτω ελάχιστες τεχνικές προδιαγραφές:</w:t>
      </w:r>
    </w:p>
    <w:p w:rsidR="00E31926" w:rsidRDefault="00E31926" w:rsidP="00E31926">
      <w:pPr>
        <w:pStyle w:val="1"/>
        <w:shd w:val="clear" w:color="auto" w:fill="auto"/>
        <w:spacing w:line="379" w:lineRule="exact"/>
        <w:ind w:right="20" w:firstLine="0"/>
        <w:jc w:val="both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705"/>
        <w:gridCol w:w="5010"/>
      </w:tblGrid>
      <w:tr w:rsidR="00E31926" w:rsidRPr="00E31926" w:rsidTr="009A25C1">
        <w:tc>
          <w:tcPr>
            <w:tcW w:w="581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Α/Α</w:t>
            </w:r>
          </w:p>
        </w:tc>
        <w:tc>
          <w:tcPr>
            <w:tcW w:w="2705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Είδος</w:t>
            </w:r>
          </w:p>
        </w:tc>
        <w:tc>
          <w:tcPr>
            <w:tcW w:w="5010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Ελάχιστα Τεχνικά Χαρακτηριστικά</w:t>
            </w:r>
          </w:p>
        </w:tc>
      </w:tr>
      <w:tr w:rsidR="00E31926" w:rsidRPr="00E31926" w:rsidTr="009A25C1">
        <w:trPr>
          <w:trHeight w:val="5802"/>
        </w:trPr>
        <w:tc>
          <w:tcPr>
            <w:tcW w:w="581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705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</w:pP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Σχεδιαγράφος</w:t>
            </w:r>
            <w:proofErr w:type="spellEnd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(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Plotter)</w:t>
            </w:r>
          </w:p>
        </w:tc>
        <w:tc>
          <w:tcPr>
            <w:tcW w:w="5010" w:type="dxa"/>
            <w:shd w:val="clear" w:color="auto" w:fill="auto"/>
          </w:tcPr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Ασπρόμαυρη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 xml:space="preserve"> /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Έγχρωμη εκτύπωση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Πλάτος υλικών εκτύπωσης: 917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mm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Πάχος Υλικών: Ρολό/Φύλλο: 0.07-0.8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mm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Mangal"/>
                <w:color w:val="000000"/>
                <w:sz w:val="20"/>
                <w:szCs w:val="20"/>
                <w:lang w:eastAsia="el-GR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Χρώματα: 5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Mangal"/>
                <w:color w:val="000000"/>
                <w:sz w:val="20"/>
                <w:szCs w:val="20"/>
                <w:lang w:eastAsia="el-GR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Ανάλυση Εκτύπωσης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: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2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.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400 Χ 1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.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200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dpi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Ακρίβεια Γραμμής: +- 0,1% ή λιγότερο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Βήμα 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ακροφυσίων</w:t>
            </w:r>
            <w:proofErr w:type="spellEnd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: 1200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dpi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X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2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Σύστημα ανίχνευσης και αντιστάθμισης αδρανών 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ακροφυσίων</w:t>
            </w:r>
            <w:proofErr w:type="spellEnd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: ΝΑΙ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Παρεχόμενα Αρχικά μελάνια:330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ml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για όλα τα χρώματα.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Συμβατότητα με 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λειτ</w:t>
            </w:r>
            <w:proofErr w:type="spellEnd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. Συστήματα: 32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bit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και 64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bit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WIN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7,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WIN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10,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WIN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11.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Μνήμη: 128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GB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(φυσική μνήμη 2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GB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)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Σκληρός Δίσκος: 500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GB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Ταχύτητα Εκτύπωσης σχεδίου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CAD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. Για χαρτί Α1: 0:18 (Κατάσταση γρήγορης οικονομικής λειτουργίας) 3,2 σελ/ λεπτό. Για χαρτί Α0: 0:34 (Κατάσταση γρήγορης οικονομικής λειτουργίας, 0:37 (γρήγορη), 1:04 (Στάνταρ) 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lastRenderedPageBreak/>
              <w:t xml:space="preserve">Ταχύτητα Εκτύπωσης σχεδίου 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Πόστερ</w:t>
            </w:r>
            <w:proofErr w:type="spellEnd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Για χαρτί Α0 0:37 (Κατάσταση γρήγορη οικονομικής εκτύπωσης), 0:42 (Γρήγορη), 1:15 (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Στανταρ</w:t>
            </w:r>
            <w:proofErr w:type="spellEnd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).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Ethernet: 10/100/1000 base-T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Wireless LAN: IEEE802.11n/IEEE802.11g/IEEE802.11b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Θα πρέπει να περιλαμβάνει και 2 επιπλέον σειρές μελάνια όλων των χρωμάτων των 330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ml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Θα πρέπει να περιλαμβάνει ένα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Maintenance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Cartridge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KIT</w:t>
            </w:r>
          </w:p>
        </w:tc>
      </w:tr>
      <w:tr w:rsidR="00E31926" w:rsidRPr="00E31926" w:rsidTr="009A25C1">
        <w:tc>
          <w:tcPr>
            <w:tcW w:w="581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705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5010" w:type="dxa"/>
            <w:shd w:val="clear" w:color="auto" w:fill="auto"/>
          </w:tcPr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Ασπρόμαυρη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 xml:space="preserve"> /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Έγχρωμη εκτύπωση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Print/Copy/Scan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Τεχνολογία Σάρωσης: 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SingleSensor</w:t>
            </w:r>
            <w:proofErr w:type="spellEnd"/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Οπτική ανάλυση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(dpi): 1200dpi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Πλάτος Σάρωσης: 914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mm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Ελάχιστο πλάτος Σάρωσης: 150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mm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Ταχύτητα Σάρωσης, κλίμακα του γκρι και μονόχρωμα 8-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bit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στα 200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dpi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: 13’’/s</w:t>
            </w:r>
            <w:proofErr w:type="spellStart"/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ec</w:t>
            </w:r>
            <w:proofErr w:type="spellEnd"/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Σάρωση σε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PC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: Ταχύτητα σάρωσης χρώμα 24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bit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 στα 200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dpi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: 3’’/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sec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 xml:space="preserve">H συσκευασία του Σαρωτή θα πρέπει να περιλαμβάνει όλα τα απαραίτητα για τη σύνδεση του σαρωτή με τον 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plotter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Σύστημα: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 xml:space="preserve">Win10 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SSD: 256GB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RAM: 8GB DDR4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Οθόνη: Αφής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3Χ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USB3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1XUSB2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Χρώματα: 5 ΜΒΚ/ΒΚ/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C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/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M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/</w:t>
            </w: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val="en-US" w:eastAsia="hi-IN" w:bidi="hi-IN"/>
              </w:rPr>
              <w:t>Y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Arial Unicode MS" w:hAnsi="Verdana" w:cs="Arial Unicode MS"/>
                <w:color w:val="000000"/>
                <w:sz w:val="20"/>
                <w:szCs w:val="20"/>
                <w:lang w:eastAsia="el-GR" w:bidi="hi-IN"/>
              </w:rPr>
              <w:t>χρόνος ανταπόκρισης σε βλάβη 1 ώρα</w:t>
            </w:r>
          </w:p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Arial Unicode MS" w:hAnsi="Verdana" w:cs="Arial Unicode MS"/>
                <w:color w:val="000000"/>
                <w:sz w:val="20"/>
                <w:szCs w:val="20"/>
                <w:lang w:eastAsia="el-GR" w:bidi="hi-IN"/>
              </w:rPr>
              <w:lastRenderedPageBreak/>
              <w:t>Εγκατάσταση και επίδειξη εξοπλισμού</w:t>
            </w:r>
          </w:p>
        </w:tc>
      </w:tr>
      <w:tr w:rsidR="00E31926" w:rsidRPr="00E31926" w:rsidTr="009A25C1">
        <w:tc>
          <w:tcPr>
            <w:tcW w:w="581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705" w:type="dxa"/>
            <w:shd w:val="clear" w:color="auto" w:fill="auto"/>
          </w:tcPr>
          <w:p w:rsidR="00E31926" w:rsidRPr="00E31926" w:rsidRDefault="00E31926" w:rsidP="00E31926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5010" w:type="dxa"/>
            <w:shd w:val="clear" w:color="auto" w:fill="auto"/>
          </w:tcPr>
          <w:p w:rsidR="00E31926" w:rsidRPr="00E31926" w:rsidRDefault="00E31926" w:rsidP="00E3192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</w:pPr>
            <w:r w:rsidRPr="00E31926">
              <w:rPr>
                <w:rFonts w:ascii="Verdana" w:eastAsia="SimSun" w:hAnsi="Verdana" w:cs="Mangal"/>
                <w:color w:val="000000"/>
                <w:sz w:val="20"/>
                <w:szCs w:val="20"/>
                <w:lang w:eastAsia="hi-IN" w:bidi="hi-IN"/>
              </w:rPr>
              <w:t>Εγγύηση: 2 Χρόνια</w:t>
            </w:r>
          </w:p>
        </w:tc>
      </w:tr>
    </w:tbl>
    <w:p w:rsidR="00E31926" w:rsidRDefault="00E31926" w:rsidP="00E31926">
      <w:pPr>
        <w:pStyle w:val="1"/>
        <w:shd w:val="clear" w:color="auto" w:fill="auto"/>
        <w:spacing w:line="379" w:lineRule="exact"/>
        <w:ind w:right="20" w:firstLine="0"/>
        <w:jc w:val="both"/>
        <w:rPr>
          <w:spacing w:val="0"/>
          <w:sz w:val="22"/>
          <w:szCs w:val="22"/>
        </w:rPr>
      </w:pPr>
      <w:bookmarkStart w:id="0" w:name="_GoBack"/>
      <w:bookmarkEnd w:id="0"/>
    </w:p>
    <w:p w:rsidR="00E31926" w:rsidRDefault="00E31926" w:rsidP="00E31926">
      <w:pPr>
        <w:pStyle w:val="1"/>
        <w:shd w:val="clear" w:color="auto" w:fill="auto"/>
        <w:spacing w:line="379" w:lineRule="exact"/>
        <w:ind w:right="20" w:firstLine="0"/>
        <w:jc w:val="both"/>
        <w:rPr>
          <w:spacing w:val="0"/>
          <w:sz w:val="22"/>
          <w:szCs w:val="22"/>
        </w:rPr>
      </w:pPr>
    </w:p>
    <w:p w:rsidR="00E31926" w:rsidRPr="00AA7952" w:rsidRDefault="00E31926" w:rsidP="00E31926">
      <w:pPr>
        <w:pStyle w:val="1"/>
        <w:numPr>
          <w:ilvl w:val="0"/>
          <w:numId w:val="2"/>
        </w:numPr>
        <w:shd w:val="clear" w:color="auto" w:fill="auto"/>
        <w:spacing w:line="379" w:lineRule="exact"/>
        <w:ind w:right="20"/>
        <w:jc w:val="both"/>
        <w:rPr>
          <w:rFonts w:ascii="Verdana" w:hAnsi="Verdana"/>
          <w:sz w:val="20"/>
          <w:szCs w:val="20"/>
        </w:rPr>
      </w:pPr>
      <w:r w:rsidRPr="00AA7952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Τεχνικές Προδιαγραφές Ομάδας Β Λογισμικού</w:t>
      </w:r>
      <w:r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 xml:space="preserve"> Προστασίας από Ιούς</w:t>
      </w:r>
      <w:r w:rsidRPr="00AA7952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 xml:space="preserve"> </w:t>
      </w:r>
      <w:r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(</w:t>
      </w:r>
      <w:proofErr w:type="spellStart"/>
      <w:r w:rsidRPr="00AA7952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Anti</w:t>
      </w:r>
      <w:proofErr w:type="spellEnd"/>
      <w:r w:rsidRPr="00AA7952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-</w:t>
      </w:r>
      <w:proofErr w:type="spellStart"/>
      <w:r w:rsidRPr="00AA7952"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Virus</w:t>
      </w:r>
      <w:proofErr w:type="spellEnd"/>
      <w:r>
        <w:rPr>
          <w:rFonts w:ascii="Cambria" w:hAnsi="Cambria" w:cs="Calibri"/>
          <w:b/>
          <w:bCs/>
          <w:color w:val="000000"/>
          <w:spacing w:val="0"/>
          <w:sz w:val="24"/>
          <w:szCs w:val="24"/>
        </w:rPr>
        <w:t>)</w:t>
      </w:r>
    </w:p>
    <w:p w:rsidR="003921BA" w:rsidRPr="00E31926" w:rsidRDefault="003921BA">
      <w:pPr>
        <w:rPr>
          <w:b/>
        </w:rPr>
      </w:pPr>
    </w:p>
    <w:tbl>
      <w:tblPr>
        <w:tblW w:w="85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3504"/>
        <w:gridCol w:w="1174"/>
        <w:gridCol w:w="1276"/>
        <w:gridCol w:w="1984"/>
      </w:tblGrid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A/A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ΠΡΟΔΙΑΓΡΑΦΗ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ΑΠΑΝΤΗΣΗ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ΠΑΡΑΠΟΜΠΗ ΤΕΚΜΗΡΙΩΣΗΣ</w:t>
            </w: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Γενικά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1.1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αναφερθεί ο κατασκευαστής και το όνομα/έκδοση του λογισμικού προστασίας από ιούς.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1.2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Το λογισμικό προστασίας να υποστηρίζει τα εξής λειτουργικά συστήματα: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MS Windows 8, 10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MS Windows Server 2008, 2012, 2016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Linux (kernel 2.6.x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και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νεότερο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), MAC OS X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1.3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Οι ελάχιστες απαιτήσεις συστήματος να είναι 0.3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GB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ελεύθερη διαθέσιμη μνήμη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RAM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και 1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GB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ελεύθερος χώρος στον σκληρό δίσκο.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Αντιική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Προστ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ασία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highlight w:val="red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Η εγκατάσταση της κεντρικής βάσης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malware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θα γίνει σε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στο εσωτερικό δίκτυο του φορέα και όχι σε εξωτερικό δίκτυο (πχ στο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cloud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ή σε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που είναι εγκατεστημένος σε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εκτός εγκαταστάσεων του φορέα). Να προσφερθούν όλα τα απαραίτητα για τον εν λόγω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(φυσικό ή εικονικό).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highlight w:val="red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υπάρχει η δυνατότητα ο κεντρικός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να παρασχεθεί σε μορφή εικονικής μηχανής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VM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Appliance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 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οστηρίζετ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αι 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νίχνευση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και καθα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ρισμός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όλων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των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τύ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πων απ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ειλών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malware: viruses, malware,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trojans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dialers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, spyware, jokes,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hoaxes</w:t>
            </w:r>
            <w:proofErr w:type="gram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,ransomware</w:t>
            </w:r>
            <w:proofErr w:type="spellEnd"/>
            <w:proofErr w:type="gram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υποστηρίζεται αυτόματη ανίχνευση και καθαρισμός των προαναφερθέντων απειλών σε πραγματικό χρόνο.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on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demand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ανίχνευση και καθαρισμός των προαναφερθέντων απειλών.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οστηρίζετ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αι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IPS (intrusion prevention system).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 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οστηρίζοντ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αι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τεχνολογίες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advanced heuristics (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ενδεικτικά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: DNA, smart signatures,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Behavioral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Analysis)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γι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ατότητα 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νίχνευσης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άγνωστου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malware.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2.8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Προστ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ασία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γι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 SSL/TLS filtering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στ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 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ρωτόκολλ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 HTTPS, IMAPS, POP3S.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ατότητα απ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οτρο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πής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γνωστών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exploits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μπλοκαρίσματος όλων των σελίδων του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Internet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σε ένα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καθώς και διαχείριση των σελίδων που μπορούν να είναι διαθέσιμες στο χρήστη ανά κατηγορία, π.χ. αποτροπή επίσκεψης σε σελίδες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social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media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streaming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videos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προστασίας σε δικτυακό επίπεδο με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based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Firewall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, με δυνατότητα φιλτραρίσματος σε επίπεδο θυρών και εφαρμογών σε εισερχόμενες και εξερχόμενες συνδέσεις.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προστασίας από δικτυακές απειλές και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botnets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ενιαίας καραντίνας αρχείων που ανιχνεύθηκαν για όλο το δίκτυο, με δυνατότητες προβολής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ανά απειλή, εξαγωγή και εξαίρεση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προστασίας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απο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Brute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Force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Attack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bookmarkStart w:id="1" w:name="_heading=h.6lxeg3ok8d2f" w:colFirst="0" w:colLast="0"/>
            <w:bookmarkEnd w:id="1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Κεντρική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δι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αχείριση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η κεντρική διαχείριση όλων των λογισμικών προστασίας  των σταθμών εργασίας /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 μέσω κεντρικής κονσόλας.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υποστηρίζεται η δημιουργία πολλαπλών ομάδων με δυνατότητα εφαρμογής διαφορετικών πολιτικών / ρυθμίσεων για κάθε ομάδα.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Λειτουργία προσωρινής απενεργοποίησης πολιτικής ανά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η διαχείριση των ιστοσελίδων (επιτρεπόμενες, μη επιτρεπόμενες) σε ένα σταθμό εργασίας /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όπου είναι εγκατεστημένος ο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υποστηρίζεται η αυτόματη ανίχνευση των σταθμών εργασίας που βρίσκονται στο τοπικό δίκτυο δεδομένων ακόμα κι αν αυτά δεν ανήκουν σε υπηρεσία ενεργού καταλόγου.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υποστηρίζεται η εγκατάσταση και απεγκατάσταση του λογισμικού προστασίας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 μέσω της κεντρικής κονσόλας.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ενεργοποίηση άδειας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σε σταθμό εργασίας 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μέσω δικτύου χωρίς σύνδεση στο διαδίκτυο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internet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offline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activation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υπάρχει η δυνατότητα εξαγωγής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πακέτου με το πρόγραμμα προστασίας, διαχείρισης, τις αντίστοιχες πολιτικές - ρυθμίσεις τους και την άδεια ενεργοποίησης για τοπικές εγκαταστάσεις.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3.9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μπορεί να γίνει εισαγωγή λίστας των υπολογιστών του δικτύου με τη χρήση ενδεικτικά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CSV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αρχείου 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text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file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Active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Directory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Scan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Active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Directory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import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Network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Pool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IP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range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κτλ.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έλεγχος και ειδοποίηση στην κεντρική κονσόλα για το αν υπάρχουν ενημερώσεις για λειτουργικά συστήματα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Windows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των σταθμών εργασίας /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όπου είναι εγκατεστημένος ο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η παρακολούθηση όλων των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και η παραγωγή αναφορών και στατιστικών σε μορφές (ενδεικτικά)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PDF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PS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CSV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Charts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καθώς και η αποστολή  αυτοματοποιημένων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emails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των προαναφερόμενων αναφορών/στατιστικών.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Η επικοινωνία του κεντρικού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και των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θα διασφαλίζεται μέσω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certificate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υπάρχει η δυνατότητα αυτόματων αναβαθμίσεων του προϊόντος.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bookmarkStart w:id="2" w:name="_heading=h.bmajqikxs5ei" w:colFirst="0" w:colLast="0"/>
            <w:bookmarkEnd w:id="2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Ενημερώσεις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4.1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Οι ενημερώσεις από το διαδίκτυο για της κεντρικής βάσης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malware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θα γίνονται αυτόματα σε κεντρικό σημείο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διαχείρισης) από το οποίο στην συνέχεια θα ενημερώνονται όλοι οι σταθμοί εργασίας και οι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. Σε περίπτωση που δεν είναι διαθέσιμος ο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διαχείρισης, να υποστηρίζεται αυτόματη παράκαμψή του.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4.2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Οι προαναφερόμενες ενημερώσεις θα προσφέρονται έως τη λήξη της περιόδου εγγυημένης λειτουργίας προμήθειας.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4.3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Rollback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σε προηγούμενη έκδοση του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Signature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File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με ταυτόχρονη παύση των ενημερώσεων, επιλέγοντας το κεντρικά ή απευθείας από τον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4.4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παρέχεται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cloud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reputation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database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για αμεσότερη προστασία από νέες απειλές.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On boot scan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5.1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σάρωση και καθαρισμός κατά την εκκίνηση του σταθμού εργασίας /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on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boot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scan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 χωρίς να χρειάζεται να ξεκινήσει το λειτουργικό σύστημα.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Ειδικές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 xml:space="preserve"> απα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ιτήσεις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6.1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η εξαγωγή των ρυθμίσεων ενός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σε αρχείο και εισαγωγής των ρυθμίσεων σε άλλον από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το ίδιο αρχείο.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6.2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υποστηρίζεται η προστασία εικονικών μηχανών σε περιβάλλον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VMWare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χωρίς εγκατάσταση λογισμικού προστασίας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agent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/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στο λειτουργικό σύστημα της κάθε εικονικής μηχανής είτε με την εγκατάσταση ενός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light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agent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6.3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Να περιέχεται εφαρμογή που να καταγράφει την κατάσταση των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agents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/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(εφαρμογές,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processes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services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κ.α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 σε μία χρονική στιγμή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snapshot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 και προαιρετικά να μπορεί να γίνει σύγκριση με προηγούμενη κατάσταση.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6.4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Επικοινωνία του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software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μόνο με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IP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δηλαδή να δουλέψει σε περιπτώσεις όπου δεν υπάρχουν υπηρεσίες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ονοματοδοσίας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DNS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server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6.5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Το μενού της κονσόλας διαχείρισης και των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antivirus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clients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για τους σταθμούς εργασίας να διατίθεται και στην ελληνική γλώσσα και να γίνει εκπαίδευση χρήσης στους υπευθύνους υπαλλήλους του Δήμου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ar-SA"/>
              </w:rPr>
            </w:pPr>
          </w:p>
        </w:tc>
      </w:tr>
    </w:tbl>
    <w:p w:rsidR="003921BA" w:rsidRDefault="003921BA"/>
    <w:p w:rsidR="003921BA" w:rsidRPr="003921BA" w:rsidRDefault="003921BA">
      <w:pPr>
        <w:rPr>
          <w:b/>
        </w:rPr>
      </w:pPr>
      <w:r w:rsidRPr="003921BA">
        <w:rPr>
          <w:b/>
        </w:rPr>
        <w:t>Λογισμικό κρυπτογράφησης</w:t>
      </w:r>
    </w:p>
    <w:p w:rsidR="003921BA" w:rsidRDefault="003921BA"/>
    <w:tbl>
      <w:tblPr>
        <w:tblW w:w="562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613"/>
        <w:gridCol w:w="4657"/>
        <w:gridCol w:w="962"/>
        <w:gridCol w:w="992"/>
        <w:gridCol w:w="2355"/>
      </w:tblGrid>
      <w:tr w:rsidR="003921BA" w:rsidRPr="003921BA" w:rsidTr="009A25C1">
        <w:trPr>
          <w:trHeight w:val="340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ive</w:t>
            </w:r>
            <w:proofErr w:type="spellEnd"/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3921BA" w:rsidRPr="003921BA" w:rsidRDefault="003921BA" w:rsidP="003921B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ΠΡΟΔΙΑΓΡΑΦΗ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3921BA" w:rsidRPr="003921BA" w:rsidRDefault="003921BA" w:rsidP="003921B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ΑΠΑΙΤΗΣΗ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3921BA" w:rsidRPr="003921BA" w:rsidRDefault="003921BA" w:rsidP="003921B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ΑΠΑΝΤΗΣΗ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vAlign w:val="center"/>
          </w:tcPr>
          <w:p w:rsidR="003921BA" w:rsidRPr="003921BA" w:rsidRDefault="003921BA" w:rsidP="003921B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ΠΑΡΑΠΟΜΠΗ ΤΕΚΜΗΡΙΩΣΗΣ</w:t>
            </w:r>
          </w:p>
        </w:tc>
      </w:tr>
      <w:tr w:rsidR="003921BA" w:rsidRPr="003921BA" w:rsidTr="009A25C1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 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Γενικά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1.1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Να αναφερθεί ο Κατασκευαστής και ο τύπος</w:t>
            </w:r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NAI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1.2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Υποστήριξη για τις εξής πλατφόρμες λειτουργικών συστημάτων: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  <w:t xml:space="preserve">-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Microsoft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Windows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10, 8.1, 8, 7</w:t>
            </w:r>
          </w:p>
          <w:p w:rsidR="003921BA" w:rsidRPr="003921BA" w:rsidRDefault="003921BA" w:rsidP="003921BA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- Microsoft Windows Server 2019, 2016, 2012R2, 2012, 2008R2</w:t>
            </w:r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US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1.3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Υποστήριξη των παρακάτω αλγόριθμων κρυπτογράφησης: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- AES 128 bit - 256 bit File &amp; Folder RME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- Triple DES 112dit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- Blowfish 128 bit</w:t>
            </w:r>
          </w:p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- Password encryption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με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192-bit AES key</w:t>
            </w:r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US" w:eastAsia="ar-SA"/>
              </w:rPr>
              <w:t> </w:t>
            </w: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  <w:t>2</w:t>
            </w:r>
          </w:p>
        </w:tc>
        <w:tc>
          <w:tcPr>
            <w:tcW w:w="2431" w:type="pct"/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Εξειδίκευση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των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 xml:space="preserve"> απα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ιτήσεων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κρυ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πτογράφησης</w:t>
            </w:r>
          </w:p>
        </w:tc>
        <w:tc>
          <w:tcPr>
            <w:tcW w:w="502" w:type="pct"/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518" w:type="pct"/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ατότητα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κρυ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πτογράφησης επ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ιλεγμένων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φα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κέλων</w:t>
            </w:r>
            <w:proofErr w:type="spellEnd"/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2.2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Δυνατότητα δημιουργίας κρυπτογραφημένων εικονικών δίσκων</w:t>
            </w:r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red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2.3</w:t>
            </w:r>
          </w:p>
        </w:tc>
        <w:tc>
          <w:tcPr>
            <w:tcW w:w="2431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Η κρυπτογράφηση νέων αρχείων να γίνεται με τη μετακίνησή τους στο φάκελο ή τον εικονικό δίσκο</w:t>
            </w:r>
          </w:p>
        </w:tc>
        <w:tc>
          <w:tcPr>
            <w:tcW w:w="502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2.4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Το άνοιγμα και η επεξεργασία των κρυπτογραφημένων αρχείων να γίνεται διάφανα από το χρήστη χωρίς επιπλέον διαδικασίες </w:t>
            </w:r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2.5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κρυπτογράφησης μεμονωμένων αρχείων για αποστολή μέσω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email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ή μεταφορά σε εξωτερικά μέσα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2.6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ενσωμάτωσης σε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Microsoft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Outlook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για αποστολή κρυπτογραφημένων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emails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2.7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Η κρυπτογράφηση των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emails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να γίνεται με κλειδί κρυπτογράφησης ή με κωδικό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password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2.8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Παροχή δωρεάν λογισμικού αποκρυπτογράφησης των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emails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με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password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από τρίτους εξουσιοδοτημένους χρήστες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2.9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κρυπτογράφησης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usb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flash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disk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/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hard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drives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και οπτικών μέσων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CD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/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DVD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2.10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ατότητα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κρυ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πτογράφησης απ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λού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κειμένου</w:t>
            </w:r>
            <w:proofErr w:type="spellEnd"/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2.11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Παροχή εργαλείου ασφαλούς διαγραφής αρχείων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b/>
                <w:sz w:val="18"/>
                <w:szCs w:val="18"/>
                <w:lang w:val="en-US" w:eastAsia="ar-SA"/>
              </w:rPr>
              <w:t> 3</w:t>
            </w:r>
          </w:p>
        </w:tc>
        <w:tc>
          <w:tcPr>
            <w:tcW w:w="2431" w:type="pct"/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Απαιτήσεις απομακρυσμένης και κεντρικής διαχείρισης</w:t>
            </w:r>
          </w:p>
        </w:tc>
        <w:tc>
          <w:tcPr>
            <w:tcW w:w="502" w:type="pct"/>
            <w:shd w:val="clear" w:color="auto" w:fill="F2F2F2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518" w:type="pct"/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30" w:type="pct"/>
            <w:shd w:val="clear" w:color="auto" w:fill="F2F2F2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3.1</w:t>
            </w:r>
          </w:p>
        </w:tc>
        <w:tc>
          <w:tcPr>
            <w:tcW w:w="2431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Παροχή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Web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κονσόλας διαχείρισης των τερματικών και χρηστών</w:t>
            </w:r>
          </w:p>
        </w:tc>
        <w:tc>
          <w:tcPr>
            <w:tcW w:w="502" w:type="pct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3.2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διαχείρισης τερματικών μέσω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cloud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και τοπικού δικτύου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US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3.3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Δυνατότητα σύνδεσης με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Active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Directory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US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Δυνατότητα δημιουργίας πολλαπλών κλειδιών κρυπτογράφησης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Τα κλειδιά κρυπτογράφησης να έχουν τη δυνατότητα διαμοιρασμού μεταξύ χρηστών (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shared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keys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US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3.6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Δυνατότητα δημιουργίας ομάδων χρηστών και τερματικών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3.7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Δυνατότητα ορισμού πολιτικών ανά ομάδα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  <w:tr w:rsidR="003921BA" w:rsidRPr="003921BA" w:rsidTr="009A2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>3.8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Δυνατότητα εύρεσης τερματικών και απομακρυσμένης εγκατάστασης του λογισμικού κρυπτογράφησης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ΝΑΙ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FF"/>
                <w:szCs w:val="24"/>
                <w:u w:val="single"/>
                <w:lang w:val="en-GB" w:eastAsia="ar-SA"/>
              </w:rPr>
            </w:pPr>
          </w:p>
        </w:tc>
      </w:tr>
    </w:tbl>
    <w:p w:rsidR="003921BA" w:rsidRDefault="003921BA"/>
    <w:p w:rsidR="003921BA" w:rsidRPr="003921BA" w:rsidRDefault="003921BA">
      <w:pPr>
        <w:rPr>
          <w:b/>
        </w:rPr>
      </w:pPr>
      <w:r w:rsidRPr="003921BA">
        <w:rPr>
          <w:b/>
        </w:rPr>
        <w:t>Λογισμικό καταγραφής</w:t>
      </w:r>
    </w:p>
    <w:p w:rsidR="003921BA" w:rsidRDefault="003921BA"/>
    <w:tbl>
      <w:tblPr>
        <w:tblW w:w="9449" w:type="dxa"/>
        <w:tblInd w:w="-431" w:type="dxa"/>
        <w:tblLook w:val="04A0" w:firstRow="1" w:lastRow="0" w:firstColumn="1" w:lastColumn="0" w:noHBand="0" w:noVBand="1"/>
      </w:tblPr>
      <w:tblGrid>
        <w:gridCol w:w="536"/>
        <w:gridCol w:w="4336"/>
        <w:gridCol w:w="1112"/>
        <w:gridCol w:w="1553"/>
        <w:gridCol w:w="1912"/>
      </w:tblGrid>
      <w:tr w:rsidR="003921BA" w:rsidRPr="003921BA" w:rsidTr="009A25C1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  <w:t>Α/Α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ΠΡΟΔΙΑΓΡΑΦΗ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ΑΠΑΙΤΗΣΗ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ΑΠΑΝΤΗΣΗ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ΠΑΡΑΠΟΜΠΗ ΤΕΚΜΗΡΙΩΣΗΣ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Γενικά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1.1 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Να αναφερθεί ο Κατασκευαστής και ο τύπος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1.2 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Υποστήριξη για τις εξής πλατφόρμες:   - Υποστήριξη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Windows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7, 8.1 και 10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-                      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οστήριξη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macOS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10.15 και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νεότερο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E31926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-                      Microsoft Windows Server 2012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και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νεότερο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3921BA" w:rsidRPr="00E31926" w:rsidTr="009A25C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-                     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οστήριξη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MS SQL 2012 database server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και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νεότερο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, MS SQL Express 2016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και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νεότερο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  <w:t xml:space="preserve">, Azure SQL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lastRenderedPageBreak/>
              <w:t>1.3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US" w:eastAsia="ar-SA"/>
              </w:rPr>
              <w:t xml:space="preserve">Integration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με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US" w:eastAsia="ar-SA"/>
              </w:rPr>
              <w:t xml:space="preserve"> Microsoft Active Directory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1.4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Υποστήριξη οπτικής αναγνώρισης χαρακτήρων(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OCR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)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1.5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Να μην απαιτείται αγορά λογισμικού τρίτου κατασκευαστή για τη λειτουργία του, π.χ. για βάσεις δεδομένων κλπ.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Εξειδικευμένες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Απα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ιτήσεις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οστήριξη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Microsoft terminal server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Προσ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αρμόσιμη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κεντρική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κονσόλ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δι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αχείρισης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Προσαρμόσιμα δικαιώματα πρόσβασης σε αναφορές, ρυθμίσεις και διαχείριση δικαιωμάτων των διαχειριστών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απόκρυψης εγκατάστασης και διεργασιών από χρήστες και διαχειριστές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Προστασία τερματισμού διεργασίας του λογισμικού προστασίας από χρήστες ή διαχειριστές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Προστασίας ανεπιθύμητης απεγκατάστασης του λογισμικού προστασίας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αποτροπής έναρξης του συστήματος σε ασφαλή λειτουργία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Η προστασία να ισχύει ακόμα κι όταν το τερματικό είναι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offline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ή συνδεδεμένο σε άλλο δίκτυο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Η σουίτα να διαθέτει ενσωματωμένη δυνατότητα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backup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στοιχείων εφαρμογής, καταγραφών και των πολιτικών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Ειδοποίηση με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email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σε περίπτωση συμβάντων, με δυνατότητα ρύθμισης επιπέδου ευαισθησίας και ιδιοτήτων συμβάντων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Αποστολή αναφορών με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email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με τη δυνατότητα παραμετροποίησης σε πλήρες βαθμό (ποσότητα πληροφοριών, χρήστες, συχνότητα αποστολής, παραλήπτες)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αποστολής καταγραφών σε συστήματα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SIEM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Να υπάρχει δυνατότητα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multi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-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domain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ΝΑΙ</w:t>
            </w:r>
            <w:r w:rsidRPr="003921BA"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Να παρέχει εργαλείο πληροφόρησης (κονσόλα) για παρακολούθηση αναφορών από χρήστες χωρίς δικαιώματα διαχειριστή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Να μπορεί να στείλει αρχεία καταγραφής σε σύστημα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SIEM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ατότητα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δι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ασύνδεσης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με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FortiGate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2.17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ενσωμάτωσης με άλλα εργαλεία ανάλυσης δεδομένων μέσω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API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.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(όπ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ως</w:t>
            </w:r>
            <w:proofErr w:type="spellEnd"/>
            <w:r w:rsidRPr="003921BA">
              <w:rPr>
                <w:rFonts w:ascii="Calibri" w:eastAsia="Times New Roman" w:hAnsi="Calibri" w:cs="Calibri"/>
                <w:color w:val="33475B"/>
                <w:sz w:val="18"/>
                <w:szCs w:val="18"/>
                <w:lang w:val="en-GB"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Power BI, Tableau,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κτλ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Απα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ιτήσεις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Ελέγχου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Ασφάλει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ας -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Πληροφόρησης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3.1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Λεπτομερής πληροφόρηση για τον χρόνο εκκίνησης εφαρμογών, καθώς και τον ενεργό χρόνο χρήσης τους. Οι εφαρμογές να κατηγοριοποιούνται ανάλογα τον τύπο τους για ταχύτερη αξιολόγηση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lastRenderedPageBreak/>
              <w:t xml:space="preserve">  3.2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Πληροφόρηση σχετικά με τον ενεργό χρόνο χρήσης ιστοσελίδων, με λεπτομερή πληροφόρηση σχετικά με το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URL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πρωτόκολλο και τίτλο ιστοσελίδας, ανεξάρτητα από τον τύπο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φυλλομετρητή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που χρησιμοποιείται. Οι ιστοσελίδες να παρουσιάζονται κατηγοριοποιημένες ανάλογα με τον τύπο τους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3.4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Πληροφόρηση σχετικά με εξωτερικές συσκευές(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USB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κινητά τηλέφωνα, εκτυπωτές, κλπ). Οι συσκευές κατηγοριοποιούνται ανάλογα τον τύπο τους για ταχύτερη αξιολόγηση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Πληροφόρηση σχετικά με τις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εκτυπώσεις(εκτυπώτές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ετκυπωμένα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έγγραφα, αριθμός σελίδων, τύπος εκτύπωσης). Οι εκτυπώσεις κατηγοριοποιούνται ανάλογα τον τύπο τους για ταχύτερη αξιολόγηση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3.6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Πληροφόρηση σχετικά με την δικτυακή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κίνηση(στατιστικά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δικτυακής κίνησης,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downloads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uploads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,). Οι πληροφορίες κατηγοριοποιούνται ανάλογα με την εφαρμογή, για ταχύτερη αξιολόγηση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3.7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Πληροφορίες σχετικά με τα εξερχόμενα μηνύματα ηλεκτρονικού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ταχυδρομείου(Θέμα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τομέας αποστολέα/παραλήπτη,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συννημένα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αρχεία,κλπ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)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3.8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Πληροφορίες σχετικά με λειτουργίες αρχείων(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Uploads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/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Downloads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απο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το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διαδύκτιο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αντιγραφή, αποκοπή, δημιουργία, διαγραφή, άνοιγμα, μεταφορές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FTP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κλπ). Στις πληροφορίες υπάρχουν: όνομα αρχείου, ημερομηνία και ώρα, πηγής και προορισμός, κλπ)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 3.9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εξαγωγής αναφορών σε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XLS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PDF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καταγραφής αποστολής αρχείων μέσω πάσης φύσεως λογισμικών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email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και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instant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messaging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Λεπτομερής πληροφόρηση για την χρήση αρχείων, π.χ.  ποιος χρήστης άνοιξε, αντέγραψε, διέγραψε το αρχείο και από που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Κατα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γρ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αφή 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ρχείων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ου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εκτυ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πώθηκαν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οστήριξη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POP3, IMAP, MAPI / Exchange protocol κα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θώς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και SSL encrypting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Η σουίτα να παρακολουθεί κάθε είδους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email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client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π.χ.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MS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Outlook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Thunderbird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κλπ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3.15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Καταγραφή κινήσεων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HTTP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και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HTTPS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με κάθε είδους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φυλλομετρητή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Δρ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αστηριότητα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τερμ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ατικών:  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- Κατα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γρ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αφή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εκκίνησης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/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τερμ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ατισμού υπ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ολογιστή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 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- Καταγραφή εισόδου/εξόδου λογαριασμών υπολογιστή  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- Καταγραφή λειτουργίας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sleep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/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wake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up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3.17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Δρ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αστηριότητα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δικτύου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: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- Καταγραφή όγκου απεσταλμένων/ληφθέντων δεδομένων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lastRenderedPageBreak/>
              <w:t>3.18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παρακολούθησης αρχείων στην υπηρεσία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Office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365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ατότητες κα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τηγοριο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ποίησης / 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ευρετηρί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ασης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4.1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Κατηγοριοποίηση αρχείων με βάση την τοποθεσία τους, είτε είναι τοπική ή δικτυακή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4.2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Κατηγοριοποίηση αρχείων που εξάγονται από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web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εφαρμογές, π.χ.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Intranet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site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4.3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Κατηγοριοποίηση αρχείων που εξάγονται από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Windows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εφαρμογές, π.χ.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σουΐτα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ERP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4.4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κατηγοριοποίησης αρχείων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απο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τον χρήστη (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Userbased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data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classification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)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4.5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Ανίχνευση αρχείων που περιέχουν ευαίσθητες πληροφορίες, όπως αριθμούς πιστωτικών καρτών,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IBAN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αριθμό ΑΜΚΑ κλπ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4.6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ορισμού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keywords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ή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regular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expressions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για την κατηγοριοποίηση αρχείων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ατότητες π</w:t>
            </w:r>
            <w:proofErr w:type="spellStart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>ροστ</w:t>
            </w:r>
            <w:proofErr w:type="spellEnd"/>
            <w:r w:rsidRPr="003921BA"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en-GB" w:eastAsia="ar-SA"/>
              </w:rPr>
              <w:t xml:space="preserve">ασίας </w:t>
            </w: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Μετά την κατηγοριοποίηση ευαίσθητων δεδομένων να μπορεί να περιοριστεί η μετακίνηση και η επεξεργασία αυτών. Π.χ.  επιτρεπόμενα μέσα για μεταφορές, επιτρεπόμενες ιστοσελίδες για μεταφόρτωση, επιτρεπόμενοι παραλήπτες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email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επιτρεπόμενα λογισμικά επεξεργασίας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ορισμού πολιτικών για συγκεκριμένες εφαρμογές ή πηγές, π.χ. συγκεκριμένα δεδομένα, πρόσβαση σε εξωτερικές συσκευές, δίκτυο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Δυνατότητες εφαρμογής κανόνων σε λειτουργία δοκιμής, ενημέρωσης ή αποτροπής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Αποτροπή ενεργειών σε αρχεία, όπως αντιγραφή, μετακίνηση, μεταφόρτωση στο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Web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σε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FTP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, σε εξωτερική συσκευή, με αναφορά πηγής και προορισμού, τη διαδρομή, τύπο συσκευών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Αποτροπή αντιγραφής μέσω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clipboard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και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screen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capture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Κρυ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πτογράφηση: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E31926" w:rsidTr="009A25C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-                     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Δυν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ατότητα Full Disk Encryption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μέσω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BitLocker service, όπ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υτό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είν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αι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δι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αθέσιμο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E31926" w:rsidTr="009A25C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-                     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Κρυ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πτογράφηση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δίσκων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USB Flash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μέσω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BitLocker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5.7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Device Control: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E31926" w:rsidTr="009A25C1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-                     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Ολικός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π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εριορισμός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σε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συσκευές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USB,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firewire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κάρτες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μνήμης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, LPT, COM, Bluetooth, CD, DVD, Blue-ray -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read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-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only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λειτουργίας συσκευών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921BA" w:rsidRPr="003921BA" w:rsidTr="009A25C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-                      Κατα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γρ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αφή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συνδέσεων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εξωτερικών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συσκευών</w:t>
            </w:r>
            <w:proofErr w:type="spellEnd"/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 xml:space="preserve">  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5.8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application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control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για την αποτροπή εκτέλεσης ορισμένων κατηγοριών λογισμικών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5.9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web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control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για την αποτροπή επίσκεψης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lastRenderedPageBreak/>
              <w:t xml:space="preserve">σε ορισμένες κατηγορίες ιστοσελίδων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lastRenderedPageBreak/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  <w:tr w:rsidR="003921BA" w:rsidRPr="003921BA" w:rsidTr="009A25C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lastRenderedPageBreak/>
              <w:t>5.10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Δυνατότητα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print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>control</w:t>
            </w:r>
            <w:r w:rsidRPr="003921BA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για προσαρμογή ορίων εκτύπωσης σε χρήστες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24"/>
                <w:lang w:val="en-GB" w:eastAsia="ar-SA"/>
              </w:rPr>
              <w:t xml:space="preserve">ΝΑΙ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A" w:rsidRPr="003921BA" w:rsidRDefault="003921BA" w:rsidP="003921B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</w:pPr>
            <w:r w:rsidRPr="003921BA">
              <w:rPr>
                <w:rFonts w:ascii="Calibri" w:eastAsia="Times New Roman" w:hAnsi="Calibri" w:cs="Calibri"/>
                <w:sz w:val="18"/>
                <w:szCs w:val="18"/>
                <w:lang w:val="en-GB" w:eastAsia="ar-SA"/>
              </w:rPr>
              <w:t> </w:t>
            </w:r>
          </w:p>
        </w:tc>
      </w:tr>
    </w:tbl>
    <w:p w:rsidR="003921BA" w:rsidRDefault="003921BA"/>
    <w:sectPr w:rsidR="003921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CC5"/>
    <w:multiLevelType w:val="hybridMultilevel"/>
    <w:tmpl w:val="902C6B82"/>
    <w:lvl w:ilvl="0" w:tplc="7104295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A77"/>
    <w:multiLevelType w:val="hybridMultilevel"/>
    <w:tmpl w:val="720A8732"/>
    <w:lvl w:ilvl="0" w:tplc="616E113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9E7"/>
    <w:multiLevelType w:val="hybridMultilevel"/>
    <w:tmpl w:val="7CCAC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BA"/>
    <w:rsid w:val="003921BA"/>
    <w:rsid w:val="00824E98"/>
    <w:rsid w:val="00E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E31926"/>
    <w:rPr>
      <w:spacing w:val="2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E31926"/>
    <w:pPr>
      <w:shd w:val="clear" w:color="auto" w:fill="FFFFFF"/>
      <w:spacing w:after="0" w:line="413" w:lineRule="exact"/>
      <w:ind w:hanging="520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E31926"/>
    <w:rPr>
      <w:spacing w:val="2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E31926"/>
    <w:pPr>
      <w:shd w:val="clear" w:color="auto" w:fill="FFFFFF"/>
      <w:spacing w:after="0" w:line="413" w:lineRule="exact"/>
      <w:ind w:hanging="520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2829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2</cp:revision>
  <dcterms:created xsi:type="dcterms:W3CDTF">2023-06-06T09:32:00Z</dcterms:created>
  <dcterms:modified xsi:type="dcterms:W3CDTF">2023-06-06T09:53:00Z</dcterms:modified>
</cp:coreProperties>
</file>