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</w:p>
    <w:p w:rsidR="00416E2E" w:rsidRPr="00896481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  <w:jc w:val="center"/>
        <w:rPr>
          <w:b/>
          <w:sz w:val="22"/>
          <w:szCs w:val="22"/>
        </w:rPr>
      </w:pPr>
      <w:r w:rsidRPr="00896481">
        <w:rPr>
          <w:b/>
          <w:sz w:val="22"/>
          <w:szCs w:val="22"/>
        </w:rPr>
        <w:t>ΕΝΤΥΠΟ ΟΙΚΟΝΟΜΙΚΗΣ ΠΡΟΣΦΟΡΑΣ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r>
        <w:t>Της ατομικής επιχείρησης / ημεδαπούς νομικού προσώπου ……………………………με έδρα τ</w:t>
      </w:r>
      <w:r>
        <w:tab/>
        <w:t>Οδός</w:t>
      </w:r>
      <w:r>
        <w:tab/>
      </w:r>
      <w:proofErr w:type="spellStart"/>
      <w:r>
        <w:t>Αριθ</w:t>
      </w:r>
      <w:proofErr w:type="spellEnd"/>
      <w:r>
        <w:tab/>
        <w:t xml:space="preserve"> Τ.Κ</w:t>
      </w:r>
      <w:r>
        <w:tab/>
        <w:t xml:space="preserve"> </w:t>
      </w:r>
      <w:proofErr w:type="spellStart"/>
      <w:r>
        <w:t>Τηλ</w:t>
      </w:r>
      <w:proofErr w:type="spellEnd"/>
      <w:r>
        <w:t>.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1646"/>
          <w:tab w:val="left" w:leader="dot" w:pos="3686"/>
          <w:tab w:val="left" w:leader="dot" w:pos="6672"/>
        </w:tabs>
        <w:spacing w:before="0" w:after="0" w:line="360" w:lineRule="exact"/>
      </w:pPr>
      <w:r>
        <w:tab/>
        <w:t xml:space="preserve"> </w:t>
      </w:r>
      <w:r>
        <w:rPr>
          <w:lang w:val="en-US" w:bidi="en-US"/>
        </w:rPr>
        <w:t>Fax</w:t>
      </w:r>
      <w:r>
        <w:tab/>
        <w:t xml:space="preserve"> </w:t>
      </w:r>
      <w:r>
        <w:rPr>
          <w:lang w:val="en-US" w:bidi="en-US"/>
        </w:rPr>
        <w:t>Email</w:t>
      </w:r>
      <w:r w:rsidRPr="008C4B93">
        <w:rPr>
          <w:lang w:bidi="en-US"/>
        </w:rPr>
        <w:t xml:space="preserve">: </w:t>
      </w:r>
      <w:r>
        <w:tab/>
      </w:r>
    </w:p>
    <w:p w:rsidR="00416E2E" w:rsidRDefault="00416E2E" w:rsidP="00416E2E">
      <w:pPr>
        <w:pStyle w:val="110"/>
        <w:shd w:val="clear" w:color="auto" w:fill="auto"/>
        <w:spacing w:before="0" w:after="296" w:line="360" w:lineRule="exact"/>
      </w:pPr>
      <w:r>
        <w:t>Αφού έλαβα γνώση των όρων της μελέτης για την προμήθεια με τίτλο :</w:t>
      </w:r>
    </w:p>
    <w:p w:rsidR="00416E2E" w:rsidRPr="00896481" w:rsidRDefault="00416E2E" w:rsidP="00416E2E">
      <w:pPr>
        <w:widowControl w:val="0"/>
        <w:spacing w:line="360" w:lineRule="auto"/>
        <w:jc w:val="center"/>
        <w:rPr>
          <w:rFonts w:ascii="Verdana" w:eastAsia="Arial" w:hAnsi="Verdana" w:cs="Arial"/>
          <w:b/>
          <w:spacing w:val="-3"/>
          <w:highlight w:val="yellow"/>
          <w:lang w:val="el-GR"/>
        </w:rPr>
      </w:pPr>
      <w:r w:rsidRPr="00896481">
        <w:rPr>
          <w:rFonts w:ascii="Verdana" w:hAnsi="Verdana" w:cs="Verdana-Bold"/>
          <w:b/>
          <w:bCs/>
          <w:sz w:val="20"/>
          <w:szCs w:val="20"/>
          <w:lang w:val="el-GR"/>
        </w:rPr>
        <w:t>«</w:t>
      </w:r>
      <w:r w:rsidRPr="00896481">
        <w:rPr>
          <w:rFonts w:ascii="Verdana" w:eastAsia="Arial" w:hAnsi="Verdana" w:cs="Arial"/>
          <w:b/>
          <w:spacing w:val="-3"/>
          <w:lang w:val="el-GR"/>
        </w:rPr>
        <w:t>Προμήθεια εξοπλισμού και λογισμικού πληροφορικής»</w:t>
      </w:r>
    </w:p>
    <w:p w:rsidR="00416E2E" w:rsidRPr="00896481" w:rsidRDefault="00416E2E" w:rsidP="00416E2E">
      <w:pPr>
        <w:pStyle w:val="110"/>
        <w:shd w:val="clear" w:color="auto" w:fill="auto"/>
        <w:spacing w:before="0" w:after="0"/>
        <w:jc w:val="left"/>
      </w:pPr>
      <w:r>
        <w:t xml:space="preserve"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- Τα προσφερόμενα είδη πληρούν τις προδιαγραφές της μελέτης. </w:t>
      </w:r>
      <w:r w:rsidRPr="00896481">
        <w:t>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Pr="00513D76" w:rsidRDefault="00416E2E" w:rsidP="00416E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gramStart"/>
      <w:r w:rsidRPr="00595114">
        <w:rPr>
          <w:rFonts w:ascii="Arial" w:hAnsi="Arial" w:cs="Arial"/>
          <w:b/>
          <w:bCs/>
        </w:rPr>
        <w:t>ΟΜΑΔΑ Α</w:t>
      </w:r>
      <w:r>
        <w:rPr>
          <w:rFonts w:ascii="Arial" w:hAnsi="Arial" w:cs="Arial"/>
          <w:b/>
          <w:bCs/>
        </w:rPr>
        <w:t>.</w:t>
      </w:r>
      <w:proofErr w:type="gramEnd"/>
    </w:p>
    <w:tbl>
      <w:tblPr>
        <w:tblW w:w="8784" w:type="dxa"/>
        <w:tblLook w:val="04A0" w:firstRow="1" w:lastRow="0" w:firstColumn="1" w:lastColumn="0" w:noHBand="0" w:noVBand="1"/>
      </w:tblPr>
      <w:tblGrid>
        <w:gridCol w:w="630"/>
        <w:gridCol w:w="2775"/>
        <w:gridCol w:w="1953"/>
        <w:gridCol w:w="1339"/>
        <w:gridCol w:w="2087"/>
      </w:tblGrid>
      <w:tr w:rsidR="00416E2E" w:rsidRPr="00331485" w:rsidTr="000A1A32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331485" w:rsidRDefault="00416E2E" w:rsidP="000A1A32">
            <w:pPr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bookmarkStart w:id="0" w:name="OLE_LINK157"/>
            <w:bookmarkStart w:id="1" w:name="OLE_LINK158"/>
            <w:r w:rsidRPr="00331485">
              <w:rPr>
                <w:rFonts w:ascii="Segoe UI" w:hAnsi="Segoe UI" w:cs="Segoe UI"/>
                <w:b/>
                <w:bCs/>
                <w:szCs w:val="22"/>
              </w:rPr>
              <w:t>A/A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331485" w:rsidRDefault="00416E2E" w:rsidP="000A1A32">
            <w:pPr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proofErr w:type="spellStart"/>
            <w:r w:rsidRPr="00331485">
              <w:rPr>
                <w:rFonts w:ascii="Segoe UI" w:hAnsi="Segoe UI" w:cs="Segoe UI"/>
                <w:b/>
                <w:bCs/>
                <w:szCs w:val="22"/>
              </w:rPr>
              <w:t>Είδος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331485" w:rsidRDefault="00416E2E" w:rsidP="000A1A32">
            <w:pPr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Cs w:val="22"/>
              </w:rPr>
              <w:t>Τεμάχι</w:t>
            </w:r>
            <w:proofErr w:type="spellEnd"/>
            <w:r>
              <w:rPr>
                <w:rFonts w:ascii="Segoe UI" w:hAnsi="Segoe UI" w:cs="Segoe UI"/>
                <w:b/>
                <w:bCs/>
                <w:szCs w:val="22"/>
              </w:rPr>
              <w:t>α</w:t>
            </w:r>
            <w:r>
              <w:rPr>
                <w:rFonts w:ascii="Segoe UI" w:hAnsi="Segoe UI" w:cs="Segoe UI"/>
                <w:b/>
                <w:bCs/>
                <w:szCs w:val="22"/>
              </w:rPr>
              <w:br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2E" w:rsidRPr="00331485" w:rsidRDefault="00416E2E" w:rsidP="000A1A32">
            <w:pPr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proofErr w:type="spellStart"/>
            <w:r w:rsidRPr="00331485">
              <w:rPr>
                <w:rFonts w:ascii="Segoe UI" w:hAnsi="Segoe UI" w:cs="Segoe UI"/>
                <w:b/>
                <w:bCs/>
                <w:szCs w:val="22"/>
              </w:rPr>
              <w:t>Τιμή</w:t>
            </w:r>
            <w:proofErr w:type="spellEnd"/>
            <w:r w:rsidRPr="00331485">
              <w:rPr>
                <w:rFonts w:ascii="Segoe UI" w:hAnsi="Segoe UI" w:cs="Segoe UI"/>
                <w:b/>
                <w:bCs/>
                <w:szCs w:val="22"/>
              </w:rPr>
              <w:t xml:space="preserve"> </w:t>
            </w:r>
            <w:proofErr w:type="spellStart"/>
            <w:r w:rsidRPr="00331485">
              <w:rPr>
                <w:rFonts w:ascii="Segoe UI" w:hAnsi="Segoe UI" w:cs="Segoe UI"/>
                <w:b/>
                <w:bCs/>
                <w:szCs w:val="22"/>
              </w:rPr>
              <w:t>Mονάδ</w:t>
            </w:r>
            <w:proofErr w:type="spellEnd"/>
            <w:r w:rsidRPr="00331485">
              <w:rPr>
                <w:rFonts w:ascii="Segoe UI" w:hAnsi="Segoe UI" w:cs="Segoe UI"/>
                <w:b/>
                <w:bCs/>
                <w:szCs w:val="22"/>
              </w:rPr>
              <w:t>ας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331485" w:rsidRDefault="00416E2E" w:rsidP="000A1A32">
            <w:pPr>
              <w:jc w:val="center"/>
              <w:rPr>
                <w:rFonts w:ascii="Segoe UI" w:hAnsi="Segoe UI" w:cs="Segoe UI"/>
                <w:b/>
                <w:bCs/>
                <w:szCs w:val="22"/>
              </w:rPr>
            </w:pPr>
            <w:proofErr w:type="spellStart"/>
            <w:r w:rsidRPr="00331485">
              <w:rPr>
                <w:rFonts w:ascii="Segoe UI" w:hAnsi="Segoe UI" w:cs="Segoe UI"/>
                <w:b/>
                <w:bCs/>
                <w:szCs w:val="22"/>
              </w:rPr>
              <w:t>Συνολικό</w:t>
            </w:r>
            <w:proofErr w:type="spellEnd"/>
            <w:r w:rsidRPr="00331485">
              <w:rPr>
                <w:rFonts w:ascii="Segoe UI" w:hAnsi="Segoe UI" w:cs="Segoe UI"/>
                <w:b/>
                <w:bCs/>
                <w:szCs w:val="22"/>
              </w:rPr>
              <w:t xml:space="preserve"> </w:t>
            </w:r>
            <w:proofErr w:type="spellStart"/>
            <w:r w:rsidRPr="00331485">
              <w:rPr>
                <w:rFonts w:ascii="Segoe UI" w:hAnsi="Segoe UI" w:cs="Segoe UI"/>
                <w:b/>
                <w:bCs/>
                <w:szCs w:val="22"/>
              </w:rPr>
              <w:t>Κόστος</w:t>
            </w:r>
            <w:proofErr w:type="spellEnd"/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896481" w:rsidRDefault="00416E2E" w:rsidP="000A1A32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– Κεντρικός ηλεκτρονικός υπολογιστής 256 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GB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RDIMM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2666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MT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RAM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PERC H730P+RAID Controller, 2GB NV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Cashe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, Adapter, Low Profile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Qlogic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2692 Dual Port 16Gb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Fibre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Channer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HBA,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PCIe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Low Profile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Lan 4 ports 10/100/1000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2x Intel Xeon Silver 4210 2.2G, 10C/20T, 9.6GT/s, 13.75M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Cashe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, Turbo, HT (85W) DDR42400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2X480GB SSD SATA read Intensive 6Gbps 512 2.5in Hot-plug.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5Yr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ProSupport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gram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Nest  Business</w:t>
            </w:r>
            <w:proofErr w:type="gram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Day On-Site Services.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Windows Server 2019 Standard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MS2019 Standard Ed, Additional License 16 CORE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Windows Server 2019/2016 User CALs (STD or DC) 200 users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Storage</w:t>
            </w:r>
            <w:r w:rsidRPr="0059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Array</w:t>
            </w:r>
            <w:r w:rsidRPr="0059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Flash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896481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5114">
              <w:rPr>
                <w:rFonts w:ascii="Arial" w:hAnsi="Arial" w:cs="Arial"/>
                <w:sz w:val="16"/>
                <w:szCs w:val="16"/>
              </w:rPr>
              <w:t>Λογισμικό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</w:rPr>
              <w:t>Αντιγράφων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</w:rPr>
              <w:t>Ασφ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</w:rPr>
              <w:t>αλείας</w:t>
            </w:r>
          </w:p>
          <w:p w:rsidR="00416E2E" w:rsidRPr="00595114" w:rsidRDefault="00416E2E" w:rsidP="000A1A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Veem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Backup </w:t>
            </w:r>
            <w:proofErr w:type="spellStart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>Essentilas</w:t>
            </w:r>
            <w:proofErr w:type="spellEnd"/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Enterprise 2 socket bundle-Public Sector Includes 1</w:t>
            </w:r>
            <w:r w:rsidRPr="0059511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595114">
              <w:rPr>
                <w:rFonts w:ascii="Arial" w:hAnsi="Arial" w:cs="Arial"/>
                <w:sz w:val="16"/>
                <w:szCs w:val="16"/>
                <w:lang w:val="en-US"/>
              </w:rPr>
              <w:t xml:space="preserve"> year of Basic support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2E" w:rsidRPr="00896481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896481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896481" w:rsidRDefault="00416E2E" w:rsidP="000A1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896481" w:rsidRDefault="00416E2E" w:rsidP="000A1A32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t xml:space="preserve">Υπηρεσίες Εγκατάστασης και παραμετροποίησης και υπηρεσίες διαχείρισης που σχετίζονται με την απομακρυσμένη πρόσβαση σε </w:t>
            </w:r>
            <w:r w:rsidRPr="00896481">
              <w:rPr>
                <w:rFonts w:ascii="Arial" w:hAnsi="Arial" w:cs="Arial"/>
                <w:sz w:val="16"/>
                <w:szCs w:val="16"/>
                <w:lang w:val="el-GR"/>
              </w:rPr>
              <w:lastRenderedPageBreak/>
              <w:t>ηλεκτρονικούς υπολογιστές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Pr="00595114" w:rsidRDefault="00416E2E" w:rsidP="000A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2E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2E" w:rsidRDefault="00416E2E" w:rsidP="000A1A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114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Καθα</w:t>
            </w:r>
            <w:proofErr w:type="spellStart"/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ρή</w:t>
            </w:r>
            <w:proofErr w:type="spellEnd"/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Αξί</w:t>
            </w:r>
            <w:proofErr w:type="spellEnd"/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E2E" w:rsidRPr="00DD3A0C" w:rsidRDefault="00416E2E" w:rsidP="000A1A3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</w:pPr>
            <w:r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E2E" w:rsidRPr="00DD3A0C" w:rsidRDefault="00416E2E" w:rsidP="000A1A3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</w:pPr>
            <w:r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  <w:t>€</w:t>
            </w:r>
          </w:p>
        </w:tc>
      </w:tr>
      <w:tr w:rsidR="00416E2E" w:rsidRPr="00595114" w:rsidTr="000A1A32">
        <w:trPr>
          <w:trHeight w:val="315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2E" w:rsidRPr="00595114" w:rsidRDefault="00416E2E" w:rsidP="000A1A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ΣΥΝΟΛΟ   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2E" w:rsidRPr="00DD3A0C" w:rsidRDefault="00416E2E" w:rsidP="000A1A3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</w:pPr>
            <w:r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l-GR" w:eastAsia="en-US"/>
              </w:rPr>
              <w:t>€</w:t>
            </w:r>
          </w:p>
        </w:tc>
      </w:tr>
      <w:bookmarkEnd w:id="0"/>
      <w:bookmarkEnd w:id="1"/>
    </w:tbl>
    <w:p w:rsidR="00416E2E" w:rsidRDefault="00416E2E" w:rsidP="00416E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16E2E" w:rsidRDefault="00416E2E" w:rsidP="00416E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16E2E" w:rsidRPr="004E709C" w:rsidRDefault="00416E2E" w:rsidP="00416E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gramStart"/>
      <w:r w:rsidRPr="00C27B03">
        <w:rPr>
          <w:rFonts w:ascii="Arial" w:hAnsi="Arial" w:cs="Arial"/>
          <w:b/>
          <w:bCs/>
        </w:rPr>
        <w:t xml:space="preserve">ΟΜΑΔΑ </w:t>
      </w:r>
      <w:r>
        <w:rPr>
          <w:rFonts w:ascii="Arial" w:hAnsi="Arial" w:cs="Arial"/>
          <w:b/>
          <w:bCs/>
        </w:rPr>
        <w:t>Β.</w:t>
      </w:r>
      <w:proofErr w:type="gramEnd"/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2576"/>
        <w:gridCol w:w="992"/>
        <w:gridCol w:w="1989"/>
        <w:gridCol w:w="3119"/>
      </w:tblGrid>
      <w:tr w:rsidR="00416E2E" w:rsidTr="000A1A32">
        <w:trPr>
          <w:trHeight w:val="5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6B7B" w:rsidRDefault="00416E2E" w:rsidP="000A1A32">
            <w:pPr>
              <w:pStyle w:val="Bodytext250"/>
              <w:shd w:val="clear" w:color="auto" w:fill="auto"/>
              <w:spacing w:line="240" w:lineRule="auto"/>
              <w:ind w:left="120"/>
              <w:rPr>
                <w:rFonts w:ascii="Verdana" w:hAnsi="Verdana"/>
                <w:b/>
              </w:rPr>
            </w:pPr>
            <w:r w:rsidRPr="00DD6B7B">
              <w:rPr>
                <w:rFonts w:ascii="Verdana" w:hAnsi="Verdana"/>
                <w:b/>
              </w:rPr>
              <w:t>A/A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6B7B" w:rsidRDefault="00416E2E" w:rsidP="000A1A32">
            <w:pPr>
              <w:pStyle w:val="Bodytext250"/>
              <w:shd w:val="clear" w:color="auto" w:fill="auto"/>
              <w:spacing w:line="240" w:lineRule="auto"/>
              <w:ind w:left="100"/>
              <w:rPr>
                <w:rFonts w:ascii="Verdana" w:hAnsi="Verdana"/>
                <w:b/>
              </w:rPr>
            </w:pPr>
            <w:proofErr w:type="spellStart"/>
            <w:r w:rsidRPr="00DD6B7B">
              <w:rPr>
                <w:rFonts w:ascii="Verdana" w:hAnsi="Verdana"/>
                <w:b/>
              </w:rPr>
              <w:t>Είδος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6B7B" w:rsidRDefault="00416E2E" w:rsidP="000A1A32">
            <w:pPr>
              <w:pStyle w:val="Bodytext250"/>
              <w:shd w:val="clear" w:color="auto" w:fill="auto"/>
              <w:spacing w:line="240" w:lineRule="auto"/>
              <w:ind w:left="120"/>
              <w:rPr>
                <w:rFonts w:ascii="Verdana" w:hAnsi="Verdana"/>
                <w:b/>
              </w:rPr>
            </w:pPr>
            <w:proofErr w:type="spellStart"/>
            <w:r w:rsidRPr="00DD6B7B">
              <w:rPr>
                <w:rFonts w:ascii="Verdana" w:hAnsi="Verdana"/>
                <w:b/>
              </w:rPr>
              <w:t>Τεμάχι</w:t>
            </w:r>
            <w:proofErr w:type="spellEnd"/>
            <w:r w:rsidRPr="00DD6B7B">
              <w:rPr>
                <w:rFonts w:ascii="Verdana" w:hAnsi="Verdana"/>
                <w:b/>
              </w:rPr>
              <w:t>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6B7B" w:rsidRDefault="00416E2E" w:rsidP="000A1A32">
            <w:pPr>
              <w:pStyle w:val="Bodytext250"/>
              <w:shd w:val="clear" w:color="auto" w:fill="auto"/>
              <w:spacing w:after="60" w:line="240" w:lineRule="auto"/>
              <w:ind w:left="3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l-GR"/>
              </w:rPr>
              <w:t xml:space="preserve">     </w:t>
            </w:r>
            <w:proofErr w:type="spellStart"/>
            <w:r w:rsidRPr="00DD6B7B">
              <w:rPr>
                <w:rFonts w:ascii="Verdana" w:hAnsi="Verdana"/>
                <w:b/>
              </w:rPr>
              <w:t>Τιμή</w:t>
            </w:r>
            <w:proofErr w:type="spellEnd"/>
          </w:p>
          <w:p w:rsidR="00416E2E" w:rsidRPr="00A37EEF" w:rsidRDefault="00416E2E" w:rsidP="000A1A32">
            <w:pPr>
              <w:pStyle w:val="Bodytext250"/>
              <w:shd w:val="clear" w:color="auto" w:fill="auto"/>
              <w:spacing w:before="60" w:line="240" w:lineRule="auto"/>
              <w:ind w:left="160"/>
              <w:jc w:val="center"/>
              <w:rPr>
                <w:rFonts w:ascii="Verdana" w:hAnsi="Verdana"/>
                <w:b/>
                <w:lang w:val="el-GR"/>
              </w:rPr>
            </w:pPr>
            <w:proofErr w:type="spellStart"/>
            <w:r>
              <w:rPr>
                <w:rFonts w:ascii="Verdana" w:hAnsi="Verdana"/>
                <w:b/>
              </w:rPr>
              <w:t>Μ</w:t>
            </w:r>
            <w:r w:rsidRPr="00DD6B7B">
              <w:rPr>
                <w:rFonts w:ascii="Verdana" w:hAnsi="Verdana"/>
                <w:b/>
              </w:rPr>
              <w:t>ονάδ</w:t>
            </w:r>
            <w:proofErr w:type="spellEnd"/>
            <w:r w:rsidRPr="00DD6B7B">
              <w:rPr>
                <w:rFonts w:ascii="Verdana" w:hAnsi="Verdana"/>
                <w:b/>
              </w:rPr>
              <w:t>ας</w:t>
            </w:r>
            <w:r>
              <w:rPr>
                <w:rFonts w:ascii="Verdana" w:hAnsi="Verdana"/>
                <w:b/>
                <w:lang w:val="el-GR"/>
              </w:rPr>
              <w:t xml:space="preserve"> σε Ευρώ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A74190" w:rsidRDefault="00416E2E" w:rsidP="000A1A32">
            <w:pPr>
              <w:pStyle w:val="Bodytext250"/>
              <w:shd w:val="clear" w:color="auto" w:fill="auto"/>
              <w:spacing w:line="206" w:lineRule="exact"/>
              <w:ind w:right="120"/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Συνολικό Κόστος σε Ευρώ</w:t>
            </w:r>
          </w:p>
        </w:tc>
      </w:tr>
      <w:tr w:rsidR="00416E2E" w:rsidTr="000A1A32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50"/>
              <w:shd w:val="clear" w:color="auto" w:fill="auto"/>
              <w:spacing w:line="240" w:lineRule="auto"/>
              <w:rPr>
                <w:rFonts w:ascii="Arial" w:hAnsi="Arial" w:cs="Arial"/>
                <w:lang w:val="el-GR"/>
              </w:rPr>
            </w:pPr>
            <w:r w:rsidRPr="00C22449">
              <w:rPr>
                <w:rFonts w:ascii="Arial" w:hAnsi="Arial" w:cs="Arial"/>
                <w:lang w:val="el-GR"/>
              </w:rPr>
              <w:t xml:space="preserve">   </w:t>
            </w:r>
            <w:r w:rsidRPr="00C22449">
              <w:rPr>
                <w:rFonts w:ascii="Arial" w:hAnsi="Arial" w:cs="Arial"/>
              </w:rPr>
              <w:t>1</w:t>
            </w:r>
            <w:r w:rsidRPr="00C22449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rPr>
                <w:rFonts w:ascii="Arial" w:eastAsia="Arial Unicode MS" w:hAnsi="Arial" w:cs="Arial"/>
                <w:color w:val="000000"/>
              </w:rPr>
            </w:pPr>
            <w:r w:rsidRPr="00C22449">
              <w:rPr>
                <w:rFonts w:ascii="Arial" w:eastAsia="Arial Unicode MS" w:hAnsi="Arial" w:cs="Arial"/>
                <w:color w:val="000000"/>
              </w:rPr>
              <w:t xml:space="preserve">Σταθερός H/Y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left="640"/>
              <w:jc w:val="left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C22449">
              <w:rPr>
                <w:rFonts w:ascii="Arial" w:eastAsia="Arial Unicode MS" w:hAnsi="Arial" w:cs="Arial"/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left="320"/>
              <w:jc w:val="left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€</w:t>
            </w:r>
          </w:p>
        </w:tc>
      </w:tr>
      <w:tr w:rsidR="00416E2E" w:rsidTr="000A1A32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50"/>
              <w:shd w:val="clear" w:color="auto" w:fill="auto"/>
              <w:spacing w:line="240" w:lineRule="auto"/>
              <w:rPr>
                <w:rFonts w:ascii="Arial" w:hAnsi="Arial" w:cs="Arial"/>
                <w:lang w:val="el-GR"/>
              </w:rPr>
            </w:pPr>
            <w:r w:rsidRPr="00C22449">
              <w:rPr>
                <w:rFonts w:ascii="Arial" w:hAnsi="Arial" w:cs="Arial"/>
                <w:lang w:val="el-GR"/>
              </w:rPr>
              <w:t xml:space="preserve">   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rPr>
                <w:rFonts w:ascii="Arial" w:eastAsia="Arial Unicode MS" w:hAnsi="Arial" w:cs="Arial"/>
                <w:color w:val="000000"/>
              </w:rPr>
            </w:pPr>
            <w:r w:rsidRPr="00C22449">
              <w:rPr>
                <w:rFonts w:ascii="Arial" w:hAnsi="Arial" w:cs="Arial"/>
              </w:rPr>
              <w:t>Οθόνη Η/Υ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C22449" w:rsidRDefault="00416E2E" w:rsidP="000A1A32">
            <w:pPr>
              <w:pStyle w:val="Bodytext260"/>
              <w:shd w:val="clear" w:color="auto" w:fill="auto"/>
              <w:spacing w:line="240" w:lineRule="auto"/>
              <w:ind w:left="640"/>
              <w:jc w:val="left"/>
              <w:rPr>
                <w:rFonts w:ascii="Arial" w:eastAsia="Arial Unicode MS" w:hAnsi="Arial" w:cs="Arial"/>
                <w:color w:val="000000"/>
              </w:rPr>
            </w:pPr>
            <w:r w:rsidRPr="00C22449">
              <w:rPr>
                <w:rFonts w:ascii="Arial" w:eastAsia="Arial Unicode MS" w:hAnsi="Arial" w:cs="Arial"/>
                <w:color w:val="00000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005F4" w:rsidRDefault="00416E2E" w:rsidP="000A1A32">
            <w:pPr>
              <w:pStyle w:val="Bodytext260"/>
              <w:shd w:val="clear" w:color="auto" w:fill="auto"/>
              <w:spacing w:line="240" w:lineRule="auto"/>
              <w:ind w:left="320"/>
              <w:jc w:val="left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005F4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€</w:t>
            </w:r>
          </w:p>
        </w:tc>
      </w:tr>
      <w:tr w:rsidR="00416E2E" w:rsidRPr="00A40BDA" w:rsidTr="000A1A32">
        <w:trPr>
          <w:trHeight w:val="382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BF4553" w:rsidRDefault="00416E2E" w:rsidP="000A1A32">
            <w:pPr>
              <w:pStyle w:val="Bodytext250"/>
              <w:shd w:val="clear" w:color="auto" w:fill="auto"/>
              <w:spacing w:line="240" w:lineRule="auto"/>
              <w:ind w:left="3460"/>
              <w:jc w:val="right"/>
              <w:rPr>
                <w:rFonts w:ascii="Verdana" w:hAnsi="Verdana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3A0C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€                                                    </w:t>
            </w:r>
          </w:p>
        </w:tc>
      </w:tr>
      <w:tr w:rsidR="00416E2E" w:rsidTr="000A1A32">
        <w:trPr>
          <w:trHeight w:val="269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BC2FAF" w:rsidRDefault="00416E2E" w:rsidP="000A1A32">
            <w:pPr>
              <w:pStyle w:val="Bodytext250"/>
              <w:shd w:val="clear" w:color="auto" w:fill="auto"/>
              <w:spacing w:line="240" w:lineRule="auto"/>
              <w:ind w:left="3340"/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 ΦΠΑ  (24%)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DD3A0C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€                </w:t>
            </w:r>
          </w:p>
        </w:tc>
      </w:tr>
      <w:tr w:rsidR="00416E2E" w:rsidTr="000A1A32">
        <w:trPr>
          <w:trHeight w:val="36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Pr="009629AE" w:rsidRDefault="00416E2E" w:rsidP="000A1A32">
            <w:pPr>
              <w:pStyle w:val="Bodytext250"/>
              <w:shd w:val="clear" w:color="auto" w:fill="auto"/>
              <w:spacing w:line="240" w:lineRule="auto"/>
              <w:ind w:left="3120"/>
              <w:jc w:val="righ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                            </w:t>
            </w:r>
            <w:r w:rsidRPr="00BF4553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               </w:t>
            </w:r>
            <w:r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ΣΥΝΟΛΟ ΟΜΑΔΑΣ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2E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  <w:p w:rsidR="00416E2E" w:rsidRPr="00D72647" w:rsidRDefault="00416E2E" w:rsidP="000A1A32">
            <w:pPr>
              <w:pStyle w:val="Bodytext260"/>
              <w:shd w:val="clear" w:color="auto" w:fill="auto"/>
              <w:spacing w:line="240" w:lineRule="auto"/>
              <w:ind w:right="120"/>
              <w:jc w:val="righ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D72647">
              <w:rPr>
                <w:rFonts w:ascii="Cambria" w:hAnsi="Cambria"/>
                <w:b/>
                <w:sz w:val="18"/>
                <w:szCs w:val="18"/>
              </w:rPr>
              <w:t>€</w:t>
            </w:r>
          </w:p>
        </w:tc>
      </w:tr>
    </w:tbl>
    <w:p w:rsidR="00416E2E" w:rsidRDefault="00416E2E" w:rsidP="00416E2E">
      <w:pPr>
        <w:spacing w:before="57" w:after="57"/>
        <w:rPr>
          <w:lang w:val="el-GR"/>
        </w:rPr>
      </w:pPr>
      <w:bookmarkStart w:id="2" w:name="_GoBack"/>
      <w:bookmarkEnd w:id="2"/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Ο/Η Προσφέρων/</w:t>
      </w:r>
      <w:proofErr w:type="spellStart"/>
      <w:r>
        <w:rPr>
          <w:lang w:val="el-GR"/>
        </w:rPr>
        <w:t>ουσα</w:t>
      </w:r>
      <w:proofErr w:type="spellEnd"/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Χρόνος ισχύος προσφορών: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B0600C" w:rsidRDefault="00B0600C"/>
    <w:sectPr w:rsidR="00B06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E"/>
    <w:rsid w:val="00416E2E"/>
    <w:rsid w:val="00B0600C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2</cp:revision>
  <dcterms:created xsi:type="dcterms:W3CDTF">2022-09-26T12:41:00Z</dcterms:created>
  <dcterms:modified xsi:type="dcterms:W3CDTF">2022-09-27T08:41:00Z</dcterms:modified>
</cp:coreProperties>
</file>