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81" w:rsidRDefault="009B0981" w:rsidP="004B3C3B">
      <w:pPr>
        <w:spacing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  <w:lang w:val="en-US"/>
        </w:rPr>
      </w:pPr>
    </w:p>
    <w:p w:rsidR="009B0981" w:rsidRDefault="009B0981" w:rsidP="004B3C3B">
      <w:pPr>
        <w:spacing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  <w:lang w:val="en-US"/>
        </w:rPr>
      </w:pPr>
    </w:p>
    <w:p w:rsidR="008631A9" w:rsidRPr="0030607D" w:rsidRDefault="008631A9" w:rsidP="004B3C3B">
      <w:pPr>
        <w:spacing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662F41" w:rsidP="004B3C3B">
      <w:pPr>
        <w:spacing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 ΑΛΕΞ/ΠΟΛΗΣ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C37C8A">
        <w:rPr>
          <w:rFonts w:asciiTheme="minorHAnsi" w:hAnsiTheme="minorHAnsi"/>
          <w:color w:val="262626" w:themeColor="text1" w:themeTint="D9"/>
          <w:sz w:val="24"/>
          <w:szCs w:val="24"/>
        </w:rPr>
        <w:t>16</w:t>
      </w:r>
      <w:bookmarkStart w:id="0" w:name="_GoBack"/>
      <w:bookmarkEnd w:id="0"/>
      <w:r w:rsidR="000A4C6A">
        <w:rPr>
          <w:rFonts w:asciiTheme="minorHAnsi" w:hAnsiTheme="minorHAnsi"/>
          <w:color w:val="262626" w:themeColor="text1" w:themeTint="D9"/>
          <w:sz w:val="24"/>
          <w:szCs w:val="24"/>
        </w:rPr>
        <w:t>/12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1</w:t>
      </w:r>
    </w:p>
    <w:p w:rsidR="008631A9" w:rsidRPr="003D12B2" w:rsidRDefault="00131A80" w:rsidP="004B3C3B">
      <w:pPr>
        <w:spacing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3275FA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Αλεξανδρούπολης</w:t>
      </w:r>
    </w:p>
    <w:p w:rsidR="0089487C" w:rsidRPr="003D12B2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275FA">
        <w:rPr>
          <w:rFonts w:asciiTheme="minorHAnsi" w:hAnsiTheme="minorHAnsi" w:cs="Calibri"/>
          <w:sz w:val="24"/>
        </w:rPr>
        <w:t xml:space="preserve"> Δήμος Αλεξανδρούπολης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3275FA">
        <w:rPr>
          <w:rFonts w:asciiTheme="minorHAnsi" w:hAnsiTheme="minorHAnsi" w:cs="Calibri"/>
          <w:sz w:val="24"/>
        </w:rPr>
        <w:t xml:space="preserve"> του Δήμου Αλεξανδρούπολης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3275FA">
        <w:rPr>
          <w:rFonts w:asciiTheme="minorHAnsi" w:hAnsiTheme="minorHAnsi" w:cs="Calibri"/>
          <w:sz w:val="24"/>
        </w:rPr>
        <w:t xml:space="preserve"> </w:t>
      </w:r>
      <w:r w:rsidR="00662F41">
        <w:rPr>
          <w:rFonts w:asciiTheme="minorHAnsi" w:hAnsiTheme="minorHAnsi" w:cs="Calibri"/>
          <w:sz w:val="24"/>
        </w:rPr>
        <w:t>Αλεξανδρούπολης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7240"/>
        <w:gridCol w:w="868"/>
        <w:gridCol w:w="1471"/>
        <w:gridCol w:w="864"/>
      </w:tblGrid>
      <w:tr w:rsidR="004B3C3B" w:rsidRPr="006B5FE7" w:rsidTr="004B3C3B">
        <w:trPr>
          <w:trHeight w:val="270"/>
        </w:trPr>
        <w:tc>
          <w:tcPr>
            <w:tcW w:w="200" w:type="pct"/>
            <w:vMerge w:val="restart"/>
            <w:shd w:val="clear" w:color="auto" w:fill="D9D9D9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>Α/Α</w:t>
            </w:r>
          </w:p>
        </w:tc>
        <w:tc>
          <w:tcPr>
            <w:tcW w:w="3328" w:type="pct"/>
            <w:vMerge w:val="restart"/>
            <w:shd w:val="clear" w:color="auto" w:fill="D9D9D9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right="-568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>ΤΙΤΛΟΙ ΠΡΟΓΡΑΜΜΑΤΩΝ</w:t>
            </w:r>
          </w:p>
        </w:tc>
        <w:tc>
          <w:tcPr>
            <w:tcW w:w="399" w:type="pct"/>
            <w:vMerge w:val="restart"/>
            <w:shd w:val="clear" w:color="auto" w:fill="D9D9D9"/>
            <w:noWrap/>
            <w:vAlign w:val="center"/>
          </w:tcPr>
          <w:p w:rsidR="00553B13" w:rsidRPr="00553B13" w:rsidRDefault="00553B13" w:rsidP="004B3C3B">
            <w:pPr>
              <w:spacing w:line="240" w:lineRule="auto"/>
              <w:ind w:left="-53" w:right="-132" w:hanging="81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>ΔΙΑΡΚΕΙΑ</w:t>
            </w:r>
          </w:p>
          <w:p w:rsidR="00553B13" w:rsidRPr="00553B13" w:rsidRDefault="00553B13" w:rsidP="004B3C3B">
            <w:pPr>
              <w:spacing w:line="240" w:lineRule="auto"/>
              <w:ind w:left="-53" w:right="-132" w:hanging="81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 xml:space="preserve"> ΣΕ ΩΡΕΣ</w:t>
            </w:r>
          </w:p>
        </w:tc>
        <w:tc>
          <w:tcPr>
            <w:tcW w:w="1073" w:type="pct"/>
            <w:gridSpan w:val="2"/>
            <w:shd w:val="clear" w:color="auto" w:fill="D9D9D9"/>
            <w:vAlign w:val="center"/>
          </w:tcPr>
          <w:p w:rsidR="00553B13" w:rsidRPr="00553B13" w:rsidRDefault="00553B13" w:rsidP="00553B13">
            <w:pPr>
              <w:spacing w:line="240" w:lineRule="auto"/>
              <w:ind w:right="28" w:hanging="47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>ΤΡΟΠΟΣ ΠΑΡΑΚΟΛΟΥΘΗΣΗΣ</w:t>
            </w:r>
          </w:p>
        </w:tc>
      </w:tr>
      <w:tr w:rsidR="004B3C3B" w:rsidRPr="006B5FE7" w:rsidTr="004B3C3B">
        <w:trPr>
          <w:trHeight w:val="424"/>
        </w:trPr>
        <w:tc>
          <w:tcPr>
            <w:tcW w:w="200" w:type="pct"/>
            <w:vMerge/>
            <w:shd w:val="clear" w:color="auto" w:fill="D9D9D9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  <w:tc>
          <w:tcPr>
            <w:tcW w:w="3328" w:type="pct"/>
            <w:vMerge/>
            <w:shd w:val="clear" w:color="auto" w:fill="D9D9D9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right="-568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  <w:tc>
          <w:tcPr>
            <w:tcW w:w="399" w:type="pct"/>
            <w:vMerge/>
            <w:shd w:val="clear" w:color="auto" w:fill="D9D9D9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3" w:right="-192" w:hanging="284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  <w:tc>
          <w:tcPr>
            <w:tcW w:w="676" w:type="pct"/>
            <w:shd w:val="clear" w:color="auto" w:fill="D9D9D9"/>
            <w:vAlign w:val="center"/>
          </w:tcPr>
          <w:p w:rsidR="00553B13" w:rsidRPr="00553B13" w:rsidRDefault="00553B13" w:rsidP="00553B13">
            <w:pPr>
              <w:spacing w:line="240" w:lineRule="auto"/>
              <w:ind w:right="28" w:hanging="188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 xml:space="preserve">    ΤΗΛΕ-ΕΚΠΑΙΔΕΥΣΗ</w:t>
            </w:r>
          </w:p>
        </w:tc>
        <w:tc>
          <w:tcPr>
            <w:tcW w:w="397" w:type="pct"/>
            <w:shd w:val="clear" w:color="auto" w:fill="D9D9D9"/>
            <w:vAlign w:val="center"/>
          </w:tcPr>
          <w:p w:rsidR="00553B13" w:rsidRPr="00553B13" w:rsidRDefault="00553B13" w:rsidP="00553B13">
            <w:pPr>
              <w:spacing w:line="240" w:lineRule="auto"/>
              <w:ind w:right="28" w:hanging="27"/>
              <w:jc w:val="center"/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b/>
                <w:color w:val="17365D" w:themeColor="text2" w:themeShade="BF"/>
                <w:sz w:val="21"/>
                <w:szCs w:val="21"/>
                <w:lang w:eastAsia="el-GR"/>
              </w:rPr>
              <w:t>ΔΙΑ ΖΩΣΗΣ</w:t>
            </w: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1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553B13" w:rsidRDefault="000A4C6A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highlight w:val="yellow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Επιχειρηματικότητα και Τουριστική-Πολιτιστική Ανάπτυξη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highlight w:val="yellow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0A4C6A" w:rsidRDefault="000A4C6A" w:rsidP="00553B13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highlight w:val="yellow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Ηλεκτρονική Επιχειρηματικότητα</w:t>
            </w: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val="en-US" w:eastAsia="el-GR"/>
              </w:rPr>
              <w:t xml:space="preserve"> </w:t>
            </w: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-</w:t>
            </w: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val="en-US" w:eastAsia="el-GR"/>
              </w:rPr>
              <w:t xml:space="preserve"> e-</w:t>
            </w:r>
            <w:proofErr w:type="spellStart"/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επιχειρείν</w:t>
            </w:r>
            <w:proofErr w:type="spellEnd"/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highlight w:val="yellow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3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553B13" w:rsidRDefault="000A4C6A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Διαμόρφωση και διακόσμηση εσωτερικών χώρων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4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553B13" w:rsidRDefault="000A4C6A" w:rsidP="00553B13">
            <w:pPr>
              <w:spacing w:line="240" w:lineRule="auto"/>
              <w:ind w:left="-567" w:right="-568" w:firstLine="580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Δημιουργία Ιστοσελίδας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5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553B13" w:rsidRDefault="000A4C6A" w:rsidP="000A4C6A">
            <w:pPr>
              <w:spacing w:line="240" w:lineRule="auto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Ιταλικά για τον τουρισμό (Α1-Α2)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6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553B13" w:rsidRPr="00553B13" w:rsidRDefault="000A4C6A" w:rsidP="000A4C6A">
            <w:pPr>
              <w:spacing w:line="240" w:lineRule="auto"/>
              <w:ind w:right="-106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Ισπανικά για τον τουρισμό(Α1-Α2)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094140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4B3C3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553B13" w:rsidRPr="00553B13" w:rsidRDefault="00553B13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7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D3196B" w:rsidRPr="00553B13" w:rsidRDefault="000A4C6A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Βασικά Αγγλικά Α2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553B13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676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 w:rsidRPr="00553B13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553B13" w:rsidRPr="00553B13" w:rsidRDefault="00553B13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9B0981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9B0981" w:rsidRPr="009B0981" w:rsidRDefault="00AA16ED" w:rsidP="009B0981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val="en-US"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val="en-US" w:eastAsia="el-GR"/>
              </w:rPr>
              <w:t xml:space="preserve"> 8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9B0981" w:rsidRDefault="001C2C59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 xml:space="preserve">Βασικά </w:t>
            </w:r>
            <w:r w:rsidR="00AA16ED"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 xml:space="preserve">Τουρκικά </w:t>
            </w: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επιπέδου Α2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9B0981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50</w:t>
            </w:r>
          </w:p>
        </w:tc>
        <w:tc>
          <w:tcPr>
            <w:tcW w:w="676" w:type="pct"/>
          </w:tcPr>
          <w:p w:rsidR="009B0981" w:rsidRPr="00553B13" w:rsidRDefault="001C2C59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9B0981" w:rsidRPr="00553B13" w:rsidRDefault="009B0981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9B0981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9B0981" w:rsidRPr="001C2C59" w:rsidRDefault="001C2C59" w:rsidP="009B0981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9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9B0981" w:rsidRDefault="001C2C59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Ελληνικό Αλφαβητικό σύστημα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9B0981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9B0981" w:rsidRPr="00553B13" w:rsidRDefault="001C2C59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9B0981" w:rsidRPr="00553B13" w:rsidRDefault="009B0981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9B0981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9B0981" w:rsidRPr="001C2C59" w:rsidRDefault="001C2C59" w:rsidP="009B0981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10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9B0981" w:rsidRDefault="001C2C59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Διαχείριση διαπροσωπικών σχέσεων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9B0981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9B0981" w:rsidRPr="00553B13" w:rsidRDefault="001C2C59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9B0981" w:rsidRPr="00553B13" w:rsidRDefault="009B0981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9B0981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9B0981" w:rsidRPr="001C2C59" w:rsidRDefault="001C2C59" w:rsidP="009B0981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11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9B0981" w:rsidRDefault="001C2C59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Αντιμετώπιση της κοινωνικής κρίσης στην καθημερινή ζωή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9B0981" w:rsidRPr="00553B13" w:rsidRDefault="001C2C59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9B0981" w:rsidRPr="00553B13" w:rsidRDefault="001C2C59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9B0981" w:rsidRPr="00553B13" w:rsidRDefault="009B0981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  <w:tr w:rsidR="00AA17CB" w:rsidRPr="006B5FE7" w:rsidTr="004B3C3B">
        <w:trPr>
          <w:trHeight w:val="336"/>
        </w:trPr>
        <w:tc>
          <w:tcPr>
            <w:tcW w:w="200" w:type="pct"/>
            <w:shd w:val="clear" w:color="auto" w:fill="auto"/>
            <w:noWrap/>
            <w:vAlign w:val="center"/>
          </w:tcPr>
          <w:p w:rsidR="00AA17CB" w:rsidRDefault="00AA17CB" w:rsidP="009B0981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12</w:t>
            </w:r>
          </w:p>
        </w:tc>
        <w:tc>
          <w:tcPr>
            <w:tcW w:w="3328" w:type="pct"/>
            <w:shd w:val="clear" w:color="auto" w:fill="auto"/>
            <w:noWrap/>
            <w:vAlign w:val="center"/>
          </w:tcPr>
          <w:p w:rsidR="00AA17CB" w:rsidRDefault="00AA17CB" w:rsidP="000A4C6A">
            <w:pPr>
              <w:spacing w:line="240" w:lineRule="auto"/>
              <w:ind w:right="-568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Τοπική Ιστορία</w:t>
            </w: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AA17CB" w:rsidRDefault="00AA17CB" w:rsidP="00553B13">
            <w:pPr>
              <w:spacing w:line="240" w:lineRule="auto"/>
              <w:ind w:left="-567" w:right="-568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25</w:t>
            </w:r>
          </w:p>
        </w:tc>
        <w:tc>
          <w:tcPr>
            <w:tcW w:w="676" w:type="pct"/>
          </w:tcPr>
          <w:p w:rsidR="00AA17CB" w:rsidRDefault="00AA17CB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  <w:r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  <w:t>Χ</w:t>
            </w:r>
          </w:p>
        </w:tc>
        <w:tc>
          <w:tcPr>
            <w:tcW w:w="397" w:type="pct"/>
          </w:tcPr>
          <w:p w:rsidR="00AA17CB" w:rsidRPr="00553B13" w:rsidRDefault="00AA17CB" w:rsidP="00553B13">
            <w:pPr>
              <w:spacing w:line="240" w:lineRule="auto"/>
              <w:ind w:right="-113" w:hanging="164"/>
              <w:jc w:val="center"/>
              <w:rPr>
                <w:rFonts w:asciiTheme="minorHAnsi" w:eastAsia="Times New Roman" w:hAnsiTheme="minorHAnsi" w:cs="Calibri"/>
                <w:color w:val="17365D" w:themeColor="text2" w:themeShade="BF"/>
                <w:sz w:val="21"/>
                <w:szCs w:val="21"/>
                <w:lang w:eastAsia="el-GR"/>
              </w:rPr>
            </w:pPr>
          </w:p>
        </w:tc>
      </w:tr>
    </w:tbl>
    <w:p w:rsidR="002947EF" w:rsidRPr="006B5FE7" w:rsidRDefault="00007C8A" w:rsidP="00F14D1F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</w:pPr>
      <w:r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Σε περιπτώσεις αναστολής 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>της δια ζώσης εκπαίδευσης</w:t>
      </w:r>
      <w:r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 λόγω περιοριστικών μέτρων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 </w:t>
      </w:r>
      <w:r w:rsidR="00BC20A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για την αντιμετώπιση της 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πανδημίας </w:t>
      </w:r>
      <w:proofErr w:type="spellStart"/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val="en-US" w:eastAsia="el-GR"/>
        </w:rPr>
        <w:t>covid</w:t>
      </w:r>
      <w:proofErr w:type="spellEnd"/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-19, τα τμήματα μάθησης </w:t>
      </w:r>
      <w:r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>θα υλοποιούνται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 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u w:val="single"/>
          <w:lang w:eastAsia="el-GR"/>
        </w:rPr>
        <w:t>μόνο μέσω τηλε-εκπαίδευσης</w:t>
      </w:r>
      <w:r w:rsidR="002947EF" w:rsidRPr="006B5FE7">
        <w:rPr>
          <w:rFonts w:asciiTheme="minorHAnsi" w:eastAsia="Times New Roman" w:hAnsiTheme="minorHAnsi" w:cs="Calibri"/>
          <w:i/>
          <w:color w:val="auto"/>
          <w:sz w:val="23"/>
          <w:szCs w:val="23"/>
          <w:lang w:eastAsia="el-GR"/>
        </w:rPr>
        <w:t xml:space="preserve"> (εξ αποστάσεως παρακολούθηση).</w:t>
      </w:r>
    </w:p>
    <w:p w:rsidR="0089487C" w:rsidRDefault="0089487C" w:rsidP="004B3C3B">
      <w:pPr>
        <w:pStyle w:val="2"/>
        <w:spacing w:before="120" w:after="0" w:line="240" w:lineRule="auto"/>
        <w:ind w:left="0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89487C" w:rsidRDefault="006C23AB" w:rsidP="004B3C3B">
      <w:pPr>
        <w:pStyle w:val="2"/>
        <w:spacing w:after="0" w:line="240" w:lineRule="auto"/>
        <w:ind w:left="0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Default="0089487C" w:rsidP="006B5FE7">
      <w:pPr>
        <w:pStyle w:val="3"/>
        <w:spacing w:before="120" w:after="0" w:line="240" w:lineRule="auto"/>
        <w:ind w:left="0" w:right="-329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Default="0089487C" w:rsidP="004B3C3B">
      <w:pPr>
        <w:pStyle w:val="3"/>
        <w:spacing w:after="0" w:line="240" w:lineRule="auto"/>
        <w:ind w:left="0" w:right="-329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lastRenderedPageBreak/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662F4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2551089690</w:t>
      </w:r>
    </w:p>
    <w:p w:rsidR="00CD66EC" w:rsidRPr="003D12B2" w:rsidRDefault="00CD66EC" w:rsidP="004B3C3B">
      <w:pPr>
        <w:pStyle w:val="3"/>
        <w:spacing w:after="0" w:line="240" w:lineRule="auto"/>
        <w:ind w:left="0" w:right="-329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662F4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Αίνου 46</w:t>
      </w:r>
    </w:p>
    <w:p w:rsidR="0089487C" w:rsidRDefault="00116ABF" w:rsidP="004B3C3B">
      <w:pPr>
        <w:pStyle w:val="3"/>
        <w:tabs>
          <w:tab w:val="center" w:pos="5550"/>
        </w:tabs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proofErr w:type="spellStart"/>
      <w:r w:rsidR="00662F41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diaviou</w:t>
      </w:r>
      <w:proofErr w:type="spellEnd"/>
      <w:r w:rsidR="00662F41" w:rsidRPr="00662F4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@</w:t>
      </w:r>
      <w:proofErr w:type="spellStart"/>
      <w:r w:rsidR="00662F41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alexpolis</w:t>
      </w:r>
      <w:proofErr w:type="spellEnd"/>
      <w:r w:rsidR="00662F41" w:rsidRPr="00662F4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</w:t>
      </w:r>
      <w:r w:rsidR="00662F41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gr</w:t>
      </w:r>
      <w:r w:rsidR="00D43A97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:rsidR="00A54358" w:rsidRDefault="00E10028" w:rsidP="004B3C3B">
      <w:pPr>
        <w:pStyle w:val="3"/>
        <w:tabs>
          <w:tab w:val="left" w:pos="4350"/>
        </w:tabs>
        <w:spacing w:after="0" w:line="240" w:lineRule="auto"/>
        <w:ind w:left="0" w:right="-88" w:hanging="142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</w:t>
      </w:r>
      <w:r w:rsidR="00662F41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</w:t>
      </w:r>
      <w:r w:rsidR="004B3C3B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</w:t>
      </w:r>
      <w:r w:rsidR="00662F41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Οι αιτήσεις </w:t>
      </w:r>
      <w:r w:rsidR="00290C23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>μπορούν</w:t>
      </w:r>
      <w:r w:rsidR="00662F41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να υποβάλλονται καθημερινά </w:t>
      </w:r>
      <w:r w:rsidR="00290C23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στο γραφείο  του Κέντρου δια βίου μάθησης</w:t>
      </w:r>
      <w:r w:rsid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>, στη Δ</w:t>
      </w:r>
      <w:r w:rsidR="00290C23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ημοτική βιβλιοθήκη, από τις 10 έως τις 12 αλλά και ηλεκτρονικά στο παραπάνω </w:t>
      </w:r>
      <w:r w:rsidR="00290C23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val="en-US" w:eastAsia="el-GR"/>
        </w:rPr>
        <w:t>email</w:t>
      </w:r>
      <w:r w:rsidR="00290C23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. </w:t>
      </w:r>
      <w:r w:rsidR="00662F41" w:rsidRPr="00290C23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</w:t>
      </w:r>
      <w:r w:rsidR="004B3C3B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el-GR"/>
        </w:rPr>
        <w:t xml:space="preserve">                                                       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p w:rsidR="005E380C" w:rsidRPr="00D6658D" w:rsidRDefault="005E380C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5E380C" w:rsidRPr="00D6658D" w:rsidSect="006B5FE7">
      <w:headerReference w:type="default" r:id="rId7"/>
      <w:footerReference w:type="default" r:id="rId8"/>
      <w:pgSz w:w="11906" w:h="16838"/>
      <w:pgMar w:top="243" w:right="424" w:bottom="72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2A" w:rsidRDefault="007D7D2A" w:rsidP="000C55D3">
      <w:pPr>
        <w:spacing w:line="240" w:lineRule="auto"/>
      </w:pPr>
      <w:r>
        <w:separator/>
      </w:r>
    </w:p>
  </w:endnote>
  <w:endnote w:type="continuationSeparator" w:id="0">
    <w:p w:rsidR="007D7D2A" w:rsidRDefault="007D7D2A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0A" w:rsidRDefault="00007C8A" w:rsidP="006B5FE7">
    <w:pPr>
      <w:tabs>
        <w:tab w:val="left" w:pos="7050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30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309" name="Εικόνα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7D2A">
      <w:rPr>
        <w:noProof/>
        <w:lang w:eastAsia="el-GR"/>
      </w:rPr>
      <w:pict>
        <v:group id="Ομάδα 7" o:spid="_x0000_s2049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2051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2050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2A" w:rsidRDefault="007D7D2A" w:rsidP="000C55D3">
      <w:pPr>
        <w:spacing w:line="240" w:lineRule="auto"/>
      </w:pPr>
      <w:r>
        <w:separator/>
      </w:r>
    </w:p>
  </w:footnote>
  <w:footnote w:type="continuationSeparator" w:id="0">
    <w:p w:rsidR="007D7D2A" w:rsidRDefault="007D7D2A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5D3" w:rsidRPr="000C55D3" w:rsidRDefault="007D7D2A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w:pict>
        <v:rect id="Ορθογώνιο 3" o:spid="_x0000_s2053" style="position:absolute;margin-left:14.75pt;margin-top:-5.6pt;width:85.8pt;height:88.2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" fillcolor="white [3201]" strokecolor="#f79646 [3209]" strokeweight="2pt">
          <v:textbox>
            <w:txbxContent>
              <w:p w:rsidR="00767BE2" w:rsidRDefault="003275FA" w:rsidP="001151DB">
                <w:pPr>
                  <w:jc w:val="center"/>
                </w:pPr>
                <w:r w:rsidRPr="003275FA">
                  <w:rPr>
                    <w:noProof/>
                    <w:lang w:eastAsia="el-GR"/>
                  </w:rPr>
                  <w:drawing>
                    <wp:inline distT="0" distB="0" distL="0" distR="0">
                      <wp:extent cx="881380" cy="881380"/>
                      <wp:effectExtent l="0" t="0" r="0" b="0"/>
                      <wp:docPr id="310" name="Εικόνα 310" descr="C:\Users\administrator\Desktop\alexpolis_logo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dministrator\Desktop\alexpolis_logo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881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roofErr w:type="spellStart"/>
                <w:r w:rsidR="00767BE2">
                  <w:t>τυπο</w:t>
                </w:r>
                <w:proofErr w:type="spellEnd"/>
                <w:r w:rsidR="00767BE2">
                  <w:t xml:space="preserve"> Δήμου</w:t>
                </w:r>
                <w:r w:rsidRPr="003275FA">
                  <w:rPr>
                    <w:noProof/>
                    <w:lang w:eastAsia="el-GR"/>
                  </w:rPr>
                  <w:drawing>
                    <wp:inline distT="0" distB="0" distL="0" distR="0">
                      <wp:extent cx="881380" cy="881380"/>
                      <wp:effectExtent l="0" t="0" r="0" b="0"/>
                      <wp:docPr id="311" name="Εικόνα 311" descr="C:\Users\administrator\Desktop\alexpolis_logo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istrator\Desktop\alexpolis_logo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1380" cy="881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rect>
      </w:pic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307" name="Εικόνα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9645A7">
    <w:pPr>
      <w:pStyle w:val="a5"/>
      <w:tabs>
        <w:tab w:val="clear" w:pos="4153"/>
        <w:tab w:val="center" w:pos="5670"/>
      </w:tabs>
      <w:ind w:left="284"/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64A"/>
    <w:rsid w:val="00007C8A"/>
    <w:rsid w:val="000424F0"/>
    <w:rsid w:val="000438E3"/>
    <w:rsid w:val="00083938"/>
    <w:rsid w:val="00094140"/>
    <w:rsid w:val="000A4C6A"/>
    <w:rsid w:val="000C55D3"/>
    <w:rsid w:val="000F43EF"/>
    <w:rsid w:val="001100CD"/>
    <w:rsid w:val="00113A56"/>
    <w:rsid w:val="001151DB"/>
    <w:rsid w:val="00116ABF"/>
    <w:rsid w:val="00131A80"/>
    <w:rsid w:val="00147988"/>
    <w:rsid w:val="00151B84"/>
    <w:rsid w:val="001921A4"/>
    <w:rsid w:val="001C003A"/>
    <w:rsid w:val="001C2C59"/>
    <w:rsid w:val="001D3A8F"/>
    <w:rsid w:val="001E4C66"/>
    <w:rsid w:val="00202F07"/>
    <w:rsid w:val="00207DB9"/>
    <w:rsid w:val="00213B9E"/>
    <w:rsid w:val="002275F3"/>
    <w:rsid w:val="00232814"/>
    <w:rsid w:val="00265BD9"/>
    <w:rsid w:val="00272A4E"/>
    <w:rsid w:val="00290C23"/>
    <w:rsid w:val="002947EF"/>
    <w:rsid w:val="002B2BF5"/>
    <w:rsid w:val="002C1AC3"/>
    <w:rsid w:val="002C56DE"/>
    <w:rsid w:val="002D5FF2"/>
    <w:rsid w:val="002E6141"/>
    <w:rsid w:val="002E6658"/>
    <w:rsid w:val="0030607D"/>
    <w:rsid w:val="003275FA"/>
    <w:rsid w:val="003543BF"/>
    <w:rsid w:val="00362F37"/>
    <w:rsid w:val="003C11A3"/>
    <w:rsid w:val="003C1F94"/>
    <w:rsid w:val="003C527E"/>
    <w:rsid w:val="003D12B2"/>
    <w:rsid w:val="003F39FC"/>
    <w:rsid w:val="00403569"/>
    <w:rsid w:val="004335A6"/>
    <w:rsid w:val="00441D91"/>
    <w:rsid w:val="00446BF2"/>
    <w:rsid w:val="0047143C"/>
    <w:rsid w:val="00475419"/>
    <w:rsid w:val="00483830"/>
    <w:rsid w:val="00493A03"/>
    <w:rsid w:val="004A117F"/>
    <w:rsid w:val="004B3C3B"/>
    <w:rsid w:val="004C5924"/>
    <w:rsid w:val="004E3B5A"/>
    <w:rsid w:val="004F5F32"/>
    <w:rsid w:val="00500635"/>
    <w:rsid w:val="005260F1"/>
    <w:rsid w:val="00553B13"/>
    <w:rsid w:val="005A1B75"/>
    <w:rsid w:val="005D21C5"/>
    <w:rsid w:val="005D775F"/>
    <w:rsid w:val="005E380C"/>
    <w:rsid w:val="00612F34"/>
    <w:rsid w:val="0063193D"/>
    <w:rsid w:val="00651B95"/>
    <w:rsid w:val="00662F41"/>
    <w:rsid w:val="0068331B"/>
    <w:rsid w:val="0069037E"/>
    <w:rsid w:val="006B5FE7"/>
    <w:rsid w:val="006C23AB"/>
    <w:rsid w:val="006C478D"/>
    <w:rsid w:val="006D262C"/>
    <w:rsid w:val="006E3D0A"/>
    <w:rsid w:val="00744FF0"/>
    <w:rsid w:val="007453E9"/>
    <w:rsid w:val="007578D6"/>
    <w:rsid w:val="00767BE2"/>
    <w:rsid w:val="00776846"/>
    <w:rsid w:val="00780061"/>
    <w:rsid w:val="007D7D2A"/>
    <w:rsid w:val="007F03CF"/>
    <w:rsid w:val="007F12D8"/>
    <w:rsid w:val="00813B46"/>
    <w:rsid w:val="00817803"/>
    <w:rsid w:val="008631A9"/>
    <w:rsid w:val="0086579D"/>
    <w:rsid w:val="008843F7"/>
    <w:rsid w:val="0089487C"/>
    <w:rsid w:val="008B7AE5"/>
    <w:rsid w:val="008D75F7"/>
    <w:rsid w:val="0091317E"/>
    <w:rsid w:val="009233D6"/>
    <w:rsid w:val="00954EC5"/>
    <w:rsid w:val="00960AE1"/>
    <w:rsid w:val="009645A7"/>
    <w:rsid w:val="0097070F"/>
    <w:rsid w:val="009771AC"/>
    <w:rsid w:val="009A5174"/>
    <w:rsid w:val="009B0981"/>
    <w:rsid w:val="009C26B8"/>
    <w:rsid w:val="00A26F38"/>
    <w:rsid w:val="00A47EAB"/>
    <w:rsid w:val="00A54358"/>
    <w:rsid w:val="00AA16ED"/>
    <w:rsid w:val="00AA17CB"/>
    <w:rsid w:val="00AB4B04"/>
    <w:rsid w:val="00AD4ED6"/>
    <w:rsid w:val="00B354DE"/>
    <w:rsid w:val="00B364AB"/>
    <w:rsid w:val="00B8724E"/>
    <w:rsid w:val="00BC20AF"/>
    <w:rsid w:val="00BE52EC"/>
    <w:rsid w:val="00BE7E09"/>
    <w:rsid w:val="00C117FB"/>
    <w:rsid w:val="00C1461C"/>
    <w:rsid w:val="00C37C8A"/>
    <w:rsid w:val="00C402D0"/>
    <w:rsid w:val="00C40F80"/>
    <w:rsid w:val="00C73A14"/>
    <w:rsid w:val="00C81AE4"/>
    <w:rsid w:val="00CA26FD"/>
    <w:rsid w:val="00CB0447"/>
    <w:rsid w:val="00CC6928"/>
    <w:rsid w:val="00CD01C8"/>
    <w:rsid w:val="00CD66EC"/>
    <w:rsid w:val="00D20CA4"/>
    <w:rsid w:val="00D3196B"/>
    <w:rsid w:val="00D43A97"/>
    <w:rsid w:val="00D6658D"/>
    <w:rsid w:val="00DB28BF"/>
    <w:rsid w:val="00DD322E"/>
    <w:rsid w:val="00DE6B85"/>
    <w:rsid w:val="00E03895"/>
    <w:rsid w:val="00E10028"/>
    <w:rsid w:val="00E171E1"/>
    <w:rsid w:val="00E85C53"/>
    <w:rsid w:val="00EB164A"/>
    <w:rsid w:val="00ED5682"/>
    <w:rsid w:val="00F03C3A"/>
    <w:rsid w:val="00F14D1F"/>
    <w:rsid w:val="00F236A7"/>
    <w:rsid w:val="00F43B6F"/>
    <w:rsid w:val="00F51068"/>
    <w:rsid w:val="00F63682"/>
    <w:rsid w:val="00F66CF4"/>
    <w:rsid w:val="00F95180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5CE7D62-89BD-49C2-9CCA-5D03638E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ΚΑΛΕΝΤΗ ΜΑΡΙΑΝΝΑ</dc:creator>
  <cp:lastModifiedBy>User</cp:lastModifiedBy>
  <cp:revision>3</cp:revision>
  <cp:lastPrinted>2021-06-24T08:17:00Z</cp:lastPrinted>
  <dcterms:created xsi:type="dcterms:W3CDTF">2021-12-08T12:08:00Z</dcterms:created>
  <dcterms:modified xsi:type="dcterms:W3CDTF">2021-12-16T08:28:00Z</dcterms:modified>
</cp:coreProperties>
</file>